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line="560" w:lineRule="exact"/>
        <w:jc w:val="right"/>
        <w:rPr>
          <w:rFonts w:ascii="方正小标宋简体" w:hAnsi="黑体" w:eastAsia="方正小标宋简体"/>
          <w:bCs/>
          <w:sz w:val="32"/>
          <w:szCs w:val="32"/>
        </w:rPr>
      </w:pPr>
    </w:p>
    <w:p>
      <w:pPr>
        <w:pStyle w:val="2"/>
        <w:jc w:val="right"/>
        <w:rPr>
          <w:lang w:val="en-US"/>
        </w:rPr>
      </w:pPr>
    </w:p>
    <w:p>
      <w:pPr>
        <w:spacing w:before="156" w:beforeLines="50" w:line="560" w:lineRule="exact"/>
        <w:jc w:val="center"/>
        <w:rPr>
          <w:rFonts w:ascii="方正小标宋简体" w:hAnsi="黑体" w:eastAsia="方正小标宋简体"/>
          <w:bCs/>
          <w:sz w:val="32"/>
          <w:szCs w:val="32"/>
        </w:rPr>
      </w:pPr>
    </w:p>
    <w:p>
      <w:pPr>
        <w:spacing w:before="156" w:beforeLines="50" w:line="360" w:lineRule="auto"/>
        <w:jc w:val="center"/>
        <w:rPr>
          <w:rFonts w:hint="eastAsia" w:ascii="方正小标宋简体" w:hAnsi="方正小标宋简体" w:eastAsia="方正小标宋简体" w:cs="方正小标宋简体"/>
          <w:b w:val="0"/>
          <w:bCs/>
          <w:w w:val="100"/>
          <w:sz w:val="52"/>
          <w:szCs w:val="52"/>
        </w:rPr>
      </w:pPr>
      <w:bookmarkStart w:id="34" w:name="_GoBack"/>
      <w:r>
        <w:rPr>
          <w:rFonts w:hint="eastAsia" w:ascii="方正小标宋简体" w:hAnsi="方正小标宋简体" w:eastAsia="方正小标宋简体" w:cs="方正小标宋简体"/>
          <w:b w:val="0"/>
          <w:bCs/>
          <w:w w:val="100"/>
          <w:sz w:val="52"/>
          <w:szCs w:val="52"/>
        </w:rPr>
        <w:t>安徽省“十四五”邮政业发展规划</w:t>
      </w:r>
    </w:p>
    <w:bookmarkEnd w:id="34"/>
    <w:p>
      <w:pPr>
        <w:spacing w:before="156" w:beforeLines="50" w:line="560" w:lineRule="exact"/>
        <w:jc w:val="center"/>
        <w:rPr>
          <w:rFonts w:hint="eastAsia" w:ascii="方正小标宋简体" w:hAnsi="黑体" w:eastAsia="方正小标宋简体"/>
          <w:bCs/>
          <w:sz w:val="32"/>
          <w:szCs w:val="32"/>
          <w:lang w:eastAsia="zh-CN"/>
        </w:rPr>
      </w:pPr>
      <w:r>
        <w:rPr>
          <w:rFonts w:hint="eastAsia" w:ascii="仿宋_GB2312" w:hAnsi="仿宋_GB2312" w:eastAsia="仿宋_GB2312" w:cs="仿宋_GB2312"/>
          <w:b/>
          <w:sz w:val="52"/>
          <w:szCs w:val="52"/>
          <w:lang w:val="en-US" w:eastAsia="zh-CN"/>
        </w:rPr>
        <w:t xml:space="preserve"> </w:t>
      </w:r>
    </w:p>
    <w:p>
      <w:pPr>
        <w:spacing w:before="156" w:beforeLines="50" w:line="560" w:lineRule="exact"/>
        <w:jc w:val="center"/>
        <w:rPr>
          <w:rFonts w:ascii="方正小标宋简体" w:hAnsi="黑体" w:eastAsia="方正小标宋简体"/>
          <w:bCs/>
          <w:sz w:val="32"/>
          <w:szCs w:val="32"/>
        </w:rPr>
      </w:pPr>
    </w:p>
    <w:p>
      <w:pPr>
        <w:spacing w:before="156" w:beforeLines="50" w:line="560" w:lineRule="exact"/>
        <w:jc w:val="center"/>
        <w:rPr>
          <w:rFonts w:ascii="方正小标宋简体" w:hAnsi="黑体" w:eastAsia="方正小标宋简体"/>
          <w:bCs/>
          <w:sz w:val="32"/>
          <w:szCs w:val="32"/>
        </w:rPr>
      </w:pPr>
    </w:p>
    <w:p>
      <w:pPr>
        <w:spacing w:before="156" w:beforeLines="50" w:line="560" w:lineRule="exact"/>
        <w:jc w:val="center"/>
        <w:rPr>
          <w:rFonts w:ascii="方正小标宋简体" w:hAnsi="黑体" w:eastAsia="方正小标宋简体"/>
          <w:bCs/>
          <w:sz w:val="32"/>
          <w:szCs w:val="32"/>
        </w:rPr>
      </w:pPr>
    </w:p>
    <w:p>
      <w:pPr>
        <w:spacing w:before="156" w:beforeLines="50" w:line="560" w:lineRule="exact"/>
        <w:jc w:val="center"/>
        <w:rPr>
          <w:rFonts w:ascii="方正小标宋简体" w:hAnsi="黑体" w:eastAsia="方正小标宋简体"/>
          <w:bCs/>
          <w:sz w:val="32"/>
          <w:szCs w:val="32"/>
        </w:rPr>
      </w:pPr>
    </w:p>
    <w:p>
      <w:pPr>
        <w:pStyle w:val="2"/>
        <w:rPr>
          <w:rFonts w:ascii="方正小标宋简体" w:hAnsi="黑体" w:eastAsia="方正小标宋简体"/>
          <w:bCs/>
          <w:sz w:val="32"/>
          <w:szCs w:val="32"/>
        </w:rPr>
      </w:pPr>
    </w:p>
    <w:p>
      <w:pPr>
        <w:pStyle w:val="2"/>
        <w:rPr>
          <w:rFonts w:ascii="方正小标宋简体" w:hAnsi="黑体" w:eastAsia="方正小标宋简体"/>
          <w:bCs/>
          <w:sz w:val="32"/>
          <w:szCs w:val="32"/>
        </w:rPr>
      </w:pPr>
    </w:p>
    <w:p>
      <w:pPr>
        <w:pStyle w:val="2"/>
        <w:rPr>
          <w:rFonts w:ascii="方正小标宋简体" w:hAnsi="黑体" w:eastAsia="方正小标宋简体"/>
          <w:bCs/>
          <w:sz w:val="32"/>
          <w:szCs w:val="32"/>
        </w:rPr>
      </w:pPr>
    </w:p>
    <w:p>
      <w:pPr>
        <w:spacing w:before="156" w:beforeLines="50" w:line="560" w:lineRule="exact"/>
        <w:jc w:val="center"/>
        <w:rPr>
          <w:rFonts w:ascii="方正小标宋简体" w:hAnsi="黑体" w:eastAsia="方正小标宋简体"/>
          <w:bCs/>
          <w:sz w:val="32"/>
          <w:szCs w:val="32"/>
        </w:rPr>
      </w:pPr>
    </w:p>
    <w:p>
      <w:pPr>
        <w:spacing w:before="156" w:beforeLines="50" w:line="560" w:lineRule="exact"/>
        <w:jc w:val="center"/>
        <w:rPr>
          <w:rFonts w:ascii="方正小标宋简体" w:hAnsi="黑体" w:eastAsia="方正小标宋简体"/>
          <w:bCs/>
          <w:sz w:val="32"/>
          <w:szCs w:val="32"/>
        </w:rPr>
      </w:pPr>
    </w:p>
    <w:p>
      <w:pPr>
        <w:spacing w:before="156" w:beforeLines="50" w:line="560" w:lineRule="exact"/>
        <w:jc w:val="center"/>
        <w:rPr>
          <w:rFonts w:ascii="方正小标宋简体" w:hAnsi="黑体" w:eastAsia="方正小标宋简体"/>
          <w:bCs/>
          <w:sz w:val="32"/>
          <w:szCs w:val="32"/>
        </w:rPr>
      </w:pPr>
    </w:p>
    <w:p>
      <w:pPr>
        <w:spacing w:before="156" w:beforeLines="50" w:line="560" w:lineRule="exact"/>
        <w:jc w:val="center"/>
        <w:rPr>
          <w:rFonts w:ascii="方正小标宋简体" w:hAnsi="黑体" w:eastAsia="方正小标宋简体"/>
          <w:bCs/>
          <w:sz w:val="32"/>
          <w:szCs w:val="32"/>
        </w:rPr>
      </w:pPr>
    </w:p>
    <w:p>
      <w:pPr>
        <w:spacing w:before="156" w:beforeLines="50" w:line="560" w:lineRule="exact"/>
        <w:jc w:val="center"/>
        <w:rPr>
          <w:rFonts w:hint="eastAsia"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eastAsia="zh-CN"/>
        </w:rPr>
        <w:t xml:space="preserve"> </w:t>
      </w:r>
      <w:r>
        <w:rPr>
          <w:rFonts w:hint="eastAsia" w:ascii="仿宋_GB2312" w:hAnsi="仿宋_GB2312" w:eastAsia="仿宋_GB2312" w:cs="仿宋_GB2312"/>
          <w:bCs/>
          <w:sz w:val="32"/>
          <w:szCs w:val="32"/>
        </w:rPr>
        <w:t>2021年</w:t>
      </w:r>
      <w:r>
        <w:rPr>
          <w:rFonts w:hint="eastAsia" w:ascii="仿宋_GB2312" w:hAnsi="仿宋_GB2312" w:eastAsia="仿宋_GB2312" w:cs="仿宋_GB2312"/>
          <w:bCs/>
          <w:sz w:val="32"/>
          <w:szCs w:val="32"/>
          <w:lang w:val="en-US" w:eastAsia="zh-CN"/>
        </w:rPr>
        <w:t>11</w:t>
      </w:r>
      <w:r>
        <w:rPr>
          <w:rFonts w:hint="eastAsia" w:ascii="仿宋_GB2312" w:hAnsi="仿宋_GB2312" w:eastAsia="仿宋_GB2312" w:cs="仿宋_GB2312"/>
          <w:bCs/>
          <w:sz w:val="32"/>
          <w:szCs w:val="32"/>
        </w:rPr>
        <w:t>月</w:t>
      </w:r>
    </w:p>
    <w:p>
      <w:pPr>
        <w:spacing w:before="156" w:beforeLines="50" w:line="560" w:lineRule="exact"/>
        <w:jc w:val="center"/>
        <w:rPr>
          <w:rFonts w:ascii="仿宋" w:hAnsi="仿宋" w:eastAsia="仿宋"/>
          <w:bCs/>
          <w:sz w:val="32"/>
          <w:szCs w:val="32"/>
        </w:rPr>
      </w:pPr>
      <w:r>
        <w:rPr>
          <w:rFonts w:hint="eastAsia" w:ascii="仿宋" w:hAnsi="仿宋" w:eastAsia="仿宋"/>
          <w:bCs/>
          <w:sz w:val="32"/>
          <w:szCs w:val="32"/>
          <w:lang w:val="en-US" w:eastAsia="zh-CN"/>
        </w:rPr>
        <w:t xml:space="preserve"> </w:t>
      </w:r>
    </w:p>
    <w:p>
      <w:pPr>
        <w:pStyle w:val="17"/>
        <w:spacing w:before="50" w:line="560" w:lineRule="exact"/>
        <w:jc w:val="center"/>
        <w:rPr>
          <w:rFonts w:asciiTheme="minorHAnsi" w:hAnsiTheme="minorHAnsi" w:eastAsiaTheme="minorEastAsia" w:cstheme="minorBidi"/>
          <w:b/>
          <w:bCs/>
          <w:color w:val="auto"/>
          <w:kern w:val="2"/>
          <w:sz w:val="21"/>
          <w:szCs w:val="22"/>
          <w:lang w:val="zh-CN"/>
        </w:rPr>
        <w:sectPr>
          <w:footerReference r:id="rId3" w:type="default"/>
          <w:pgSz w:w="11906" w:h="16838"/>
          <w:pgMar w:top="1984" w:right="1531" w:bottom="1757" w:left="1531" w:header="851" w:footer="1361" w:gutter="0"/>
          <w:pgNumType w:fmt="decimal" w:start="0"/>
          <w:cols w:space="0" w:num="1"/>
          <w:rtlGutter w:val="0"/>
          <w:docGrid w:type="lines" w:linePitch="312" w:charSpace="0"/>
        </w:sectPr>
      </w:pPr>
    </w:p>
    <w:sdt>
      <w:sdtPr>
        <w:rPr>
          <w:rFonts w:hint="eastAsia" w:ascii="方正小标宋简体" w:hAnsi="方正小标宋简体" w:eastAsia="方正小标宋简体" w:cs="方正小标宋简体"/>
          <w:b/>
          <w:bCs/>
          <w:color w:val="auto"/>
          <w:kern w:val="2"/>
          <w:sz w:val="44"/>
          <w:szCs w:val="44"/>
          <w:lang w:val="zh-CN"/>
        </w:rPr>
        <w:id w:val="776684944"/>
      </w:sdtPr>
      <w:sdtEndPr>
        <w:rPr>
          <w:rFonts w:hint="eastAsia" w:ascii="仿宋" w:hAnsi="仿宋" w:eastAsia="仿宋" w:cs="楷体"/>
          <w:b/>
          <w:bCs/>
          <w:color w:val="auto"/>
          <w:kern w:val="2"/>
          <w:sz w:val="30"/>
          <w:szCs w:val="30"/>
          <w:lang w:val="zh-CN"/>
        </w:rPr>
      </w:sdtEndPr>
      <w:sdtContent>
        <w:p>
          <w:pPr>
            <w:pStyle w:val="17"/>
            <w:keepNext/>
            <w:keepLines/>
            <w:pageBreakBefore w:val="0"/>
            <w:widowControl/>
            <w:kinsoku/>
            <w:wordWrap/>
            <w:overflowPunct/>
            <w:topLinePunct w:val="0"/>
            <w:autoSpaceDE/>
            <w:autoSpaceDN/>
            <w:bidi w:val="0"/>
            <w:adjustRightInd/>
            <w:snapToGrid/>
            <w:spacing w:before="0" w:line="520" w:lineRule="exact"/>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b/>
              <w:bCs/>
              <w:color w:val="auto"/>
              <w:kern w:val="2"/>
              <w:sz w:val="44"/>
              <w:szCs w:val="44"/>
              <w:lang w:val="en-US" w:eastAsia="zh-CN"/>
            </w:rPr>
            <w:t xml:space="preserve">  </w:t>
          </w:r>
          <w:r>
            <w:rPr>
              <w:rFonts w:hint="eastAsia" w:ascii="方正小标宋简体" w:hAnsi="方正小标宋简体" w:eastAsia="方正小标宋简体" w:cs="方正小标宋简体"/>
              <w:color w:val="auto"/>
              <w:sz w:val="44"/>
              <w:szCs w:val="44"/>
              <w:lang w:val="zh-CN"/>
            </w:rPr>
            <w:t>目</w:t>
          </w:r>
          <w:r>
            <w:rPr>
              <w:rFonts w:hint="eastAsia" w:ascii="方正小标宋简体" w:hAnsi="方正小标宋简体" w:eastAsia="方正小标宋简体" w:cs="方正小标宋简体"/>
              <w:color w:val="auto"/>
              <w:sz w:val="44"/>
              <w:szCs w:val="44"/>
              <w:lang w:val="en-US" w:eastAsia="zh-CN"/>
            </w:rPr>
            <w:t xml:space="preserve">    </w:t>
          </w:r>
          <w:r>
            <w:rPr>
              <w:rFonts w:hint="eastAsia" w:ascii="方正小标宋简体" w:hAnsi="方正小标宋简体" w:eastAsia="方正小标宋简体" w:cs="方正小标宋简体"/>
              <w:color w:val="auto"/>
              <w:sz w:val="44"/>
              <w:szCs w:val="44"/>
              <w:lang w:val="zh-CN"/>
            </w:rPr>
            <w:t>录</w:t>
          </w:r>
        </w:p>
        <w:p>
          <w:pPr>
            <w:pStyle w:val="9"/>
            <w:keepNext w:val="0"/>
            <w:keepLines w:val="0"/>
            <w:pageBreakBefore w:val="0"/>
            <w:widowControl w:val="0"/>
            <w:tabs>
              <w:tab w:val="right" w:leader="dot" w:pos="8820"/>
              <w:tab w:val="clear" w:pos="8296"/>
            </w:tabs>
            <w:kinsoku/>
            <w:wordWrap/>
            <w:overflowPunct/>
            <w:topLinePunct w:val="0"/>
            <w:autoSpaceDE/>
            <w:autoSpaceDN/>
            <w:bidi w:val="0"/>
            <w:adjustRightInd/>
            <w:snapToGrid/>
            <w:spacing w:line="500" w:lineRule="exact"/>
            <w:ind w:firstLine="600" w:firstLineChars="200"/>
            <w:textAlignment w:val="auto"/>
            <w:rPr>
              <w:rFonts w:asciiTheme="minorHAnsi" w:hAnsiTheme="minorHAnsi" w:eastAsiaTheme="minorEastAsia"/>
              <w:sz w:val="21"/>
              <w:szCs w:val="22"/>
            </w:rPr>
          </w:pPr>
          <w:r>
            <w:rPr>
              <w:rFonts w:ascii="仿宋" w:hAnsi="仿宋" w:eastAsia="仿宋"/>
            </w:rPr>
            <w:fldChar w:fldCharType="begin"/>
          </w:r>
          <w:r>
            <w:rPr>
              <w:rFonts w:ascii="仿宋" w:hAnsi="仿宋" w:eastAsia="仿宋"/>
            </w:rPr>
            <w:instrText xml:space="preserve"> TOC \o "1-3" \h \z \u </w:instrText>
          </w:r>
          <w:r>
            <w:rPr>
              <w:rFonts w:ascii="仿宋" w:hAnsi="仿宋" w:eastAsia="仿宋"/>
            </w:rPr>
            <w:fldChar w:fldCharType="separate"/>
          </w:r>
          <w:r>
            <w:rPr>
              <w:rStyle w:val="16"/>
            </w:rPr>
            <w:fldChar w:fldCharType="begin"/>
          </w:r>
          <w:r>
            <w:rPr>
              <w:rStyle w:val="16"/>
            </w:rPr>
            <w:instrText xml:space="preserve"> </w:instrText>
          </w:r>
          <w:r>
            <w:instrText xml:space="preserve">HYPERLINK \l "_Toc81238277"</w:instrText>
          </w:r>
          <w:r>
            <w:rPr>
              <w:rStyle w:val="16"/>
            </w:rPr>
            <w:instrText xml:space="preserve"> </w:instrText>
          </w:r>
          <w:r>
            <w:rPr>
              <w:rStyle w:val="16"/>
            </w:rPr>
            <w:fldChar w:fldCharType="separate"/>
          </w:r>
          <w:r>
            <w:rPr>
              <w:rStyle w:val="16"/>
              <w:rFonts w:hint="eastAsia"/>
            </w:rPr>
            <w:t>一、规划背景</w:t>
          </w:r>
          <w:r>
            <w:tab/>
          </w:r>
          <w:r>
            <w:fldChar w:fldCharType="begin"/>
          </w:r>
          <w:r>
            <w:instrText xml:space="preserve"> PAGEREF _Toc81238277 \h </w:instrText>
          </w:r>
          <w:r>
            <w:fldChar w:fldCharType="separate"/>
          </w:r>
          <w:r>
            <w:t>1</w:t>
          </w:r>
          <w:r>
            <w:fldChar w:fldCharType="end"/>
          </w:r>
          <w:r>
            <w:rPr>
              <w:rStyle w:val="16"/>
            </w:rPr>
            <w:fldChar w:fldCharType="end"/>
          </w:r>
        </w:p>
        <w:p>
          <w:pPr>
            <w:pStyle w:val="10"/>
            <w:keepNext w:val="0"/>
            <w:keepLines w:val="0"/>
            <w:pageBreakBefore w:val="0"/>
            <w:widowControl w:val="0"/>
            <w:tabs>
              <w:tab w:val="right" w:leader="dot" w:pos="8820"/>
              <w:tab w:val="clear" w:pos="8296"/>
            </w:tabs>
            <w:kinsoku/>
            <w:wordWrap/>
            <w:overflowPunct/>
            <w:topLinePunct w:val="0"/>
            <w:autoSpaceDE/>
            <w:autoSpaceDN/>
            <w:bidi w:val="0"/>
            <w:adjustRightInd/>
            <w:snapToGrid/>
            <w:ind w:firstLine="560" w:firstLineChars="200"/>
            <w:textAlignment w:val="auto"/>
            <w:rPr>
              <w:rFonts w:asciiTheme="minorHAnsi" w:hAnsiTheme="minorHAnsi" w:eastAsiaTheme="minorEastAsia" w:cstheme="minorBidi"/>
              <w:b w:val="0"/>
              <w:bCs w:val="0"/>
              <w:sz w:val="21"/>
              <w:szCs w:val="22"/>
            </w:rPr>
          </w:pPr>
          <w:r>
            <w:rPr>
              <w:rStyle w:val="16"/>
              <w:b w:val="0"/>
            </w:rPr>
            <w:fldChar w:fldCharType="begin"/>
          </w:r>
          <w:r>
            <w:rPr>
              <w:rStyle w:val="16"/>
              <w:b w:val="0"/>
            </w:rPr>
            <w:instrText xml:space="preserve"> </w:instrText>
          </w:r>
          <w:r>
            <w:rPr>
              <w:b w:val="0"/>
            </w:rPr>
            <w:instrText xml:space="preserve">HYPERLINK \l "_Toc81238278"</w:instrText>
          </w:r>
          <w:r>
            <w:rPr>
              <w:rStyle w:val="16"/>
              <w:b w:val="0"/>
            </w:rPr>
            <w:instrText xml:space="preserve"> </w:instrText>
          </w:r>
          <w:r>
            <w:rPr>
              <w:rStyle w:val="16"/>
              <w:b w:val="0"/>
            </w:rPr>
            <w:fldChar w:fldCharType="separate"/>
          </w:r>
          <w:r>
            <w:rPr>
              <w:rStyle w:val="16"/>
              <w:rFonts w:hint="eastAsia" w:ascii="楷体_GB2312" w:eastAsia="楷体_GB2312"/>
              <w:b w:val="0"/>
            </w:rPr>
            <w:t>（一）现状基础</w:t>
          </w:r>
          <w:r>
            <w:rPr>
              <w:b w:val="0"/>
            </w:rPr>
            <w:tab/>
          </w:r>
          <w:r>
            <w:rPr>
              <w:b w:val="0"/>
            </w:rPr>
            <w:fldChar w:fldCharType="begin"/>
          </w:r>
          <w:r>
            <w:rPr>
              <w:b w:val="0"/>
            </w:rPr>
            <w:instrText xml:space="preserve"> PAGEREF _Toc81238278 \h </w:instrText>
          </w:r>
          <w:r>
            <w:rPr>
              <w:b w:val="0"/>
            </w:rPr>
            <w:fldChar w:fldCharType="separate"/>
          </w:r>
          <w:r>
            <w:rPr>
              <w:b w:val="0"/>
            </w:rPr>
            <w:t>1</w:t>
          </w:r>
          <w:r>
            <w:rPr>
              <w:b w:val="0"/>
            </w:rPr>
            <w:fldChar w:fldCharType="end"/>
          </w:r>
          <w:r>
            <w:rPr>
              <w:rStyle w:val="16"/>
              <w:b w:val="0"/>
            </w:rPr>
            <w:fldChar w:fldCharType="end"/>
          </w:r>
        </w:p>
        <w:p>
          <w:pPr>
            <w:pStyle w:val="10"/>
            <w:keepNext w:val="0"/>
            <w:keepLines w:val="0"/>
            <w:pageBreakBefore w:val="0"/>
            <w:widowControl w:val="0"/>
            <w:tabs>
              <w:tab w:val="right" w:leader="dot" w:pos="8820"/>
              <w:tab w:val="clear" w:pos="8296"/>
            </w:tabs>
            <w:kinsoku/>
            <w:wordWrap/>
            <w:overflowPunct/>
            <w:topLinePunct w:val="0"/>
            <w:autoSpaceDE/>
            <w:autoSpaceDN/>
            <w:bidi w:val="0"/>
            <w:adjustRightInd/>
            <w:snapToGrid/>
            <w:ind w:firstLine="560" w:firstLineChars="200"/>
            <w:textAlignment w:val="auto"/>
            <w:rPr>
              <w:rFonts w:asciiTheme="minorHAnsi" w:hAnsiTheme="minorHAnsi" w:eastAsiaTheme="minorEastAsia" w:cstheme="minorBidi"/>
              <w:b w:val="0"/>
              <w:bCs w:val="0"/>
              <w:sz w:val="21"/>
              <w:szCs w:val="22"/>
            </w:rPr>
          </w:pPr>
          <w:r>
            <w:rPr>
              <w:rStyle w:val="16"/>
              <w:b w:val="0"/>
            </w:rPr>
            <w:fldChar w:fldCharType="begin"/>
          </w:r>
          <w:r>
            <w:rPr>
              <w:rStyle w:val="16"/>
              <w:b w:val="0"/>
            </w:rPr>
            <w:instrText xml:space="preserve"> </w:instrText>
          </w:r>
          <w:r>
            <w:rPr>
              <w:b w:val="0"/>
            </w:rPr>
            <w:instrText xml:space="preserve">HYPERLINK \l "_Toc81238279"</w:instrText>
          </w:r>
          <w:r>
            <w:rPr>
              <w:rStyle w:val="16"/>
              <w:b w:val="0"/>
            </w:rPr>
            <w:instrText xml:space="preserve"> </w:instrText>
          </w:r>
          <w:r>
            <w:rPr>
              <w:rStyle w:val="16"/>
              <w:b w:val="0"/>
            </w:rPr>
            <w:fldChar w:fldCharType="separate"/>
          </w:r>
          <w:r>
            <w:rPr>
              <w:rStyle w:val="16"/>
              <w:rFonts w:hint="eastAsia" w:ascii="楷体_GB2312" w:eastAsia="楷体_GB2312"/>
              <w:b w:val="0"/>
            </w:rPr>
            <w:t>（二）发展形势</w:t>
          </w:r>
          <w:r>
            <w:rPr>
              <w:b w:val="0"/>
            </w:rPr>
            <w:tab/>
          </w:r>
          <w:r>
            <w:rPr>
              <w:b w:val="0"/>
            </w:rPr>
            <w:fldChar w:fldCharType="begin"/>
          </w:r>
          <w:r>
            <w:rPr>
              <w:b w:val="0"/>
            </w:rPr>
            <w:instrText xml:space="preserve"> PAGEREF _Toc81238279 \h </w:instrText>
          </w:r>
          <w:r>
            <w:rPr>
              <w:b w:val="0"/>
            </w:rPr>
            <w:fldChar w:fldCharType="separate"/>
          </w:r>
          <w:r>
            <w:rPr>
              <w:b w:val="0"/>
            </w:rPr>
            <w:t>4</w:t>
          </w:r>
          <w:r>
            <w:rPr>
              <w:b w:val="0"/>
            </w:rPr>
            <w:fldChar w:fldCharType="end"/>
          </w:r>
          <w:r>
            <w:rPr>
              <w:rStyle w:val="16"/>
              <w:b w:val="0"/>
            </w:rPr>
            <w:fldChar w:fldCharType="end"/>
          </w:r>
        </w:p>
        <w:p>
          <w:pPr>
            <w:pStyle w:val="9"/>
            <w:keepNext w:val="0"/>
            <w:keepLines w:val="0"/>
            <w:pageBreakBefore w:val="0"/>
            <w:widowControl w:val="0"/>
            <w:tabs>
              <w:tab w:val="right" w:leader="dot" w:pos="8820"/>
              <w:tab w:val="clear" w:pos="8296"/>
            </w:tabs>
            <w:kinsoku/>
            <w:wordWrap/>
            <w:overflowPunct/>
            <w:topLinePunct w:val="0"/>
            <w:autoSpaceDE/>
            <w:autoSpaceDN/>
            <w:bidi w:val="0"/>
            <w:adjustRightInd/>
            <w:snapToGrid/>
            <w:spacing w:line="500" w:lineRule="exact"/>
            <w:ind w:firstLine="600" w:firstLineChars="200"/>
            <w:textAlignment w:val="auto"/>
            <w:rPr>
              <w:rFonts w:asciiTheme="minorHAnsi" w:hAnsiTheme="minorHAnsi" w:eastAsiaTheme="minorEastAsia"/>
              <w:sz w:val="21"/>
              <w:szCs w:val="22"/>
            </w:rPr>
          </w:pPr>
          <w:r>
            <w:rPr>
              <w:rStyle w:val="16"/>
            </w:rPr>
            <w:fldChar w:fldCharType="begin"/>
          </w:r>
          <w:r>
            <w:rPr>
              <w:rStyle w:val="16"/>
            </w:rPr>
            <w:instrText xml:space="preserve"> </w:instrText>
          </w:r>
          <w:r>
            <w:instrText xml:space="preserve">HYPERLINK \l "_Toc81238280"</w:instrText>
          </w:r>
          <w:r>
            <w:rPr>
              <w:rStyle w:val="16"/>
            </w:rPr>
            <w:instrText xml:space="preserve"> </w:instrText>
          </w:r>
          <w:r>
            <w:rPr>
              <w:rStyle w:val="16"/>
            </w:rPr>
            <w:fldChar w:fldCharType="separate"/>
          </w:r>
          <w:r>
            <w:rPr>
              <w:rStyle w:val="16"/>
              <w:rFonts w:hint="eastAsia"/>
            </w:rPr>
            <w:t>二、总体要求</w:t>
          </w:r>
          <w:r>
            <w:tab/>
          </w:r>
          <w:r>
            <w:fldChar w:fldCharType="begin"/>
          </w:r>
          <w:r>
            <w:instrText xml:space="preserve"> PAGEREF _Toc81238280 \h </w:instrText>
          </w:r>
          <w:r>
            <w:fldChar w:fldCharType="separate"/>
          </w:r>
          <w:r>
            <w:t>5</w:t>
          </w:r>
          <w:r>
            <w:fldChar w:fldCharType="end"/>
          </w:r>
          <w:r>
            <w:rPr>
              <w:rStyle w:val="16"/>
            </w:rPr>
            <w:fldChar w:fldCharType="end"/>
          </w:r>
        </w:p>
        <w:p>
          <w:pPr>
            <w:pStyle w:val="10"/>
            <w:keepNext w:val="0"/>
            <w:keepLines w:val="0"/>
            <w:pageBreakBefore w:val="0"/>
            <w:widowControl w:val="0"/>
            <w:tabs>
              <w:tab w:val="right" w:leader="dot" w:pos="8820"/>
              <w:tab w:val="clear" w:pos="8296"/>
            </w:tabs>
            <w:kinsoku/>
            <w:wordWrap/>
            <w:overflowPunct/>
            <w:topLinePunct w:val="0"/>
            <w:autoSpaceDE/>
            <w:autoSpaceDN/>
            <w:bidi w:val="0"/>
            <w:adjustRightInd/>
            <w:snapToGrid/>
            <w:ind w:firstLine="560" w:firstLineChars="200"/>
            <w:textAlignment w:val="auto"/>
            <w:rPr>
              <w:rFonts w:asciiTheme="minorHAnsi" w:hAnsiTheme="minorHAnsi" w:eastAsiaTheme="minorEastAsia" w:cstheme="minorBidi"/>
              <w:b w:val="0"/>
              <w:bCs w:val="0"/>
              <w:sz w:val="21"/>
              <w:szCs w:val="22"/>
            </w:rPr>
          </w:pPr>
          <w:r>
            <w:rPr>
              <w:rStyle w:val="16"/>
              <w:b w:val="0"/>
            </w:rPr>
            <w:fldChar w:fldCharType="begin"/>
          </w:r>
          <w:r>
            <w:rPr>
              <w:rStyle w:val="16"/>
              <w:b w:val="0"/>
            </w:rPr>
            <w:instrText xml:space="preserve"> </w:instrText>
          </w:r>
          <w:r>
            <w:rPr>
              <w:b w:val="0"/>
            </w:rPr>
            <w:instrText xml:space="preserve">HYPERLINK \l "_Toc81238281"</w:instrText>
          </w:r>
          <w:r>
            <w:rPr>
              <w:rStyle w:val="16"/>
              <w:b w:val="0"/>
            </w:rPr>
            <w:instrText xml:space="preserve"> </w:instrText>
          </w:r>
          <w:r>
            <w:rPr>
              <w:rStyle w:val="16"/>
              <w:b w:val="0"/>
            </w:rPr>
            <w:fldChar w:fldCharType="separate"/>
          </w:r>
          <w:r>
            <w:rPr>
              <w:rStyle w:val="16"/>
              <w:rFonts w:hint="eastAsia" w:ascii="楷体_GB2312" w:eastAsia="楷体_GB2312"/>
              <w:b w:val="0"/>
            </w:rPr>
            <w:t>（一）指导思想</w:t>
          </w:r>
          <w:r>
            <w:rPr>
              <w:b w:val="0"/>
            </w:rPr>
            <w:tab/>
          </w:r>
          <w:r>
            <w:rPr>
              <w:b w:val="0"/>
            </w:rPr>
            <w:fldChar w:fldCharType="begin"/>
          </w:r>
          <w:r>
            <w:rPr>
              <w:b w:val="0"/>
            </w:rPr>
            <w:instrText xml:space="preserve"> PAGEREF _Toc81238281 \h </w:instrText>
          </w:r>
          <w:r>
            <w:rPr>
              <w:b w:val="0"/>
            </w:rPr>
            <w:fldChar w:fldCharType="separate"/>
          </w:r>
          <w:r>
            <w:rPr>
              <w:b w:val="0"/>
            </w:rPr>
            <w:t>5</w:t>
          </w:r>
          <w:r>
            <w:rPr>
              <w:b w:val="0"/>
            </w:rPr>
            <w:fldChar w:fldCharType="end"/>
          </w:r>
          <w:r>
            <w:rPr>
              <w:rStyle w:val="16"/>
              <w:b w:val="0"/>
            </w:rPr>
            <w:fldChar w:fldCharType="end"/>
          </w:r>
        </w:p>
        <w:p>
          <w:pPr>
            <w:pStyle w:val="10"/>
            <w:keepNext w:val="0"/>
            <w:keepLines w:val="0"/>
            <w:pageBreakBefore w:val="0"/>
            <w:widowControl w:val="0"/>
            <w:tabs>
              <w:tab w:val="right" w:leader="dot" w:pos="8820"/>
              <w:tab w:val="clear" w:pos="8296"/>
            </w:tabs>
            <w:kinsoku/>
            <w:wordWrap/>
            <w:overflowPunct/>
            <w:topLinePunct w:val="0"/>
            <w:autoSpaceDE/>
            <w:autoSpaceDN/>
            <w:bidi w:val="0"/>
            <w:adjustRightInd/>
            <w:snapToGrid/>
            <w:ind w:firstLine="560" w:firstLineChars="200"/>
            <w:textAlignment w:val="auto"/>
            <w:rPr>
              <w:rFonts w:asciiTheme="minorHAnsi" w:hAnsiTheme="minorHAnsi" w:eastAsiaTheme="minorEastAsia" w:cstheme="minorBidi"/>
              <w:b w:val="0"/>
              <w:bCs w:val="0"/>
              <w:sz w:val="21"/>
              <w:szCs w:val="22"/>
            </w:rPr>
          </w:pPr>
          <w:r>
            <w:rPr>
              <w:rStyle w:val="16"/>
              <w:b w:val="0"/>
            </w:rPr>
            <w:fldChar w:fldCharType="begin"/>
          </w:r>
          <w:r>
            <w:rPr>
              <w:rStyle w:val="16"/>
              <w:b w:val="0"/>
            </w:rPr>
            <w:instrText xml:space="preserve"> </w:instrText>
          </w:r>
          <w:r>
            <w:rPr>
              <w:b w:val="0"/>
            </w:rPr>
            <w:instrText xml:space="preserve">HYPERLINK \l "_Toc81238282"</w:instrText>
          </w:r>
          <w:r>
            <w:rPr>
              <w:rStyle w:val="16"/>
              <w:b w:val="0"/>
            </w:rPr>
            <w:instrText xml:space="preserve"> </w:instrText>
          </w:r>
          <w:r>
            <w:rPr>
              <w:rStyle w:val="16"/>
              <w:b w:val="0"/>
            </w:rPr>
            <w:fldChar w:fldCharType="separate"/>
          </w:r>
          <w:r>
            <w:rPr>
              <w:rStyle w:val="16"/>
              <w:rFonts w:hint="eastAsia" w:ascii="楷体_GB2312" w:eastAsia="楷体_GB2312"/>
              <w:b w:val="0"/>
            </w:rPr>
            <w:t>（二）基本原则</w:t>
          </w:r>
          <w:r>
            <w:rPr>
              <w:b w:val="0"/>
            </w:rPr>
            <w:tab/>
          </w:r>
          <w:r>
            <w:rPr>
              <w:b w:val="0"/>
            </w:rPr>
            <w:fldChar w:fldCharType="begin"/>
          </w:r>
          <w:r>
            <w:rPr>
              <w:b w:val="0"/>
            </w:rPr>
            <w:instrText xml:space="preserve"> PAGEREF _Toc81238282 \h </w:instrText>
          </w:r>
          <w:r>
            <w:rPr>
              <w:b w:val="0"/>
            </w:rPr>
            <w:fldChar w:fldCharType="separate"/>
          </w:r>
          <w:r>
            <w:rPr>
              <w:b w:val="0"/>
            </w:rPr>
            <w:t>6</w:t>
          </w:r>
          <w:r>
            <w:rPr>
              <w:b w:val="0"/>
            </w:rPr>
            <w:fldChar w:fldCharType="end"/>
          </w:r>
          <w:r>
            <w:rPr>
              <w:rStyle w:val="16"/>
              <w:b w:val="0"/>
            </w:rPr>
            <w:fldChar w:fldCharType="end"/>
          </w:r>
        </w:p>
        <w:p>
          <w:pPr>
            <w:pStyle w:val="10"/>
            <w:keepNext w:val="0"/>
            <w:keepLines w:val="0"/>
            <w:pageBreakBefore w:val="0"/>
            <w:widowControl w:val="0"/>
            <w:tabs>
              <w:tab w:val="right" w:leader="dot" w:pos="8820"/>
              <w:tab w:val="clear" w:pos="8296"/>
            </w:tabs>
            <w:kinsoku/>
            <w:wordWrap/>
            <w:overflowPunct/>
            <w:topLinePunct w:val="0"/>
            <w:autoSpaceDE/>
            <w:autoSpaceDN/>
            <w:bidi w:val="0"/>
            <w:adjustRightInd/>
            <w:snapToGrid/>
            <w:ind w:firstLine="560" w:firstLineChars="200"/>
            <w:textAlignment w:val="auto"/>
            <w:rPr>
              <w:rFonts w:asciiTheme="minorHAnsi" w:hAnsiTheme="minorHAnsi" w:eastAsiaTheme="minorEastAsia" w:cstheme="minorBidi"/>
              <w:b w:val="0"/>
              <w:bCs w:val="0"/>
              <w:sz w:val="21"/>
              <w:szCs w:val="22"/>
            </w:rPr>
          </w:pPr>
          <w:r>
            <w:rPr>
              <w:rStyle w:val="16"/>
              <w:b w:val="0"/>
            </w:rPr>
            <w:fldChar w:fldCharType="begin"/>
          </w:r>
          <w:r>
            <w:rPr>
              <w:rStyle w:val="16"/>
              <w:b w:val="0"/>
            </w:rPr>
            <w:instrText xml:space="preserve"> </w:instrText>
          </w:r>
          <w:r>
            <w:rPr>
              <w:b w:val="0"/>
            </w:rPr>
            <w:instrText xml:space="preserve">HYPERLINK \l "_Toc81238283"</w:instrText>
          </w:r>
          <w:r>
            <w:rPr>
              <w:rStyle w:val="16"/>
              <w:b w:val="0"/>
            </w:rPr>
            <w:instrText xml:space="preserve"> </w:instrText>
          </w:r>
          <w:r>
            <w:rPr>
              <w:rStyle w:val="16"/>
              <w:b w:val="0"/>
            </w:rPr>
            <w:fldChar w:fldCharType="separate"/>
          </w:r>
          <w:r>
            <w:rPr>
              <w:rStyle w:val="16"/>
              <w:rFonts w:hint="eastAsia" w:ascii="楷体_GB2312" w:eastAsia="楷体_GB2312"/>
              <w:b w:val="0"/>
            </w:rPr>
            <w:t>（三）发展目标</w:t>
          </w:r>
          <w:r>
            <w:rPr>
              <w:b w:val="0"/>
            </w:rPr>
            <w:tab/>
          </w:r>
          <w:r>
            <w:rPr>
              <w:b w:val="0"/>
            </w:rPr>
            <w:fldChar w:fldCharType="begin"/>
          </w:r>
          <w:r>
            <w:rPr>
              <w:b w:val="0"/>
            </w:rPr>
            <w:instrText xml:space="preserve"> PAGEREF _Toc81238283 \h </w:instrText>
          </w:r>
          <w:r>
            <w:rPr>
              <w:b w:val="0"/>
            </w:rPr>
            <w:fldChar w:fldCharType="separate"/>
          </w:r>
          <w:r>
            <w:rPr>
              <w:b w:val="0"/>
            </w:rPr>
            <w:t>7</w:t>
          </w:r>
          <w:r>
            <w:rPr>
              <w:b w:val="0"/>
            </w:rPr>
            <w:fldChar w:fldCharType="end"/>
          </w:r>
          <w:r>
            <w:rPr>
              <w:rStyle w:val="16"/>
              <w:b w:val="0"/>
            </w:rPr>
            <w:fldChar w:fldCharType="end"/>
          </w:r>
        </w:p>
        <w:p>
          <w:pPr>
            <w:pStyle w:val="9"/>
            <w:keepNext w:val="0"/>
            <w:keepLines w:val="0"/>
            <w:pageBreakBefore w:val="0"/>
            <w:widowControl w:val="0"/>
            <w:tabs>
              <w:tab w:val="right" w:leader="dot" w:pos="8820"/>
              <w:tab w:val="clear" w:pos="8296"/>
            </w:tabs>
            <w:kinsoku/>
            <w:wordWrap/>
            <w:overflowPunct/>
            <w:topLinePunct w:val="0"/>
            <w:autoSpaceDE/>
            <w:autoSpaceDN/>
            <w:bidi w:val="0"/>
            <w:adjustRightInd/>
            <w:snapToGrid/>
            <w:spacing w:line="500" w:lineRule="exact"/>
            <w:ind w:firstLine="600" w:firstLineChars="200"/>
            <w:textAlignment w:val="auto"/>
            <w:rPr>
              <w:rFonts w:asciiTheme="minorHAnsi" w:hAnsiTheme="minorHAnsi" w:eastAsiaTheme="minorEastAsia"/>
              <w:sz w:val="21"/>
              <w:szCs w:val="22"/>
            </w:rPr>
          </w:pPr>
          <w:r>
            <w:rPr>
              <w:rStyle w:val="16"/>
            </w:rPr>
            <w:fldChar w:fldCharType="begin"/>
          </w:r>
          <w:r>
            <w:rPr>
              <w:rStyle w:val="16"/>
            </w:rPr>
            <w:instrText xml:space="preserve"> </w:instrText>
          </w:r>
          <w:r>
            <w:instrText xml:space="preserve">HYPERLINK \l "_Toc81238285"</w:instrText>
          </w:r>
          <w:r>
            <w:rPr>
              <w:rStyle w:val="16"/>
            </w:rPr>
            <w:instrText xml:space="preserve"> </w:instrText>
          </w:r>
          <w:r>
            <w:rPr>
              <w:rStyle w:val="16"/>
            </w:rPr>
            <w:fldChar w:fldCharType="separate"/>
          </w:r>
          <w:r>
            <w:rPr>
              <w:rStyle w:val="16"/>
              <w:rFonts w:hint="eastAsia" w:cs="黑体"/>
            </w:rPr>
            <w:t>三、空间布局</w:t>
          </w:r>
          <w:r>
            <w:tab/>
          </w:r>
          <w:r>
            <w:fldChar w:fldCharType="begin"/>
          </w:r>
          <w:r>
            <w:instrText xml:space="preserve"> PAGEREF _Toc81238285 \h </w:instrText>
          </w:r>
          <w:r>
            <w:fldChar w:fldCharType="separate"/>
          </w:r>
          <w:r>
            <w:t>9</w:t>
          </w:r>
          <w:r>
            <w:fldChar w:fldCharType="end"/>
          </w:r>
          <w:r>
            <w:rPr>
              <w:rStyle w:val="16"/>
            </w:rPr>
            <w:fldChar w:fldCharType="end"/>
          </w:r>
        </w:p>
        <w:p>
          <w:pPr>
            <w:pStyle w:val="10"/>
            <w:keepNext w:val="0"/>
            <w:keepLines w:val="0"/>
            <w:pageBreakBefore w:val="0"/>
            <w:widowControl w:val="0"/>
            <w:tabs>
              <w:tab w:val="right" w:leader="dot" w:pos="8820"/>
              <w:tab w:val="clear" w:pos="8296"/>
            </w:tabs>
            <w:kinsoku/>
            <w:wordWrap/>
            <w:overflowPunct/>
            <w:topLinePunct w:val="0"/>
            <w:autoSpaceDE/>
            <w:autoSpaceDN/>
            <w:bidi w:val="0"/>
            <w:adjustRightInd/>
            <w:snapToGrid/>
            <w:ind w:firstLine="560" w:firstLineChars="200"/>
            <w:textAlignment w:val="auto"/>
            <w:rPr>
              <w:rFonts w:asciiTheme="minorHAnsi" w:hAnsiTheme="minorHAnsi" w:eastAsiaTheme="minorEastAsia" w:cstheme="minorBidi"/>
              <w:b w:val="0"/>
              <w:bCs w:val="0"/>
              <w:sz w:val="21"/>
              <w:szCs w:val="22"/>
            </w:rPr>
          </w:pPr>
          <w:r>
            <w:rPr>
              <w:rStyle w:val="16"/>
              <w:b w:val="0"/>
            </w:rPr>
            <w:fldChar w:fldCharType="begin"/>
          </w:r>
          <w:r>
            <w:rPr>
              <w:rStyle w:val="16"/>
              <w:b w:val="0"/>
            </w:rPr>
            <w:instrText xml:space="preserve"> </w:instrText>
          </w:r>
          <w:r>
            <w:rPr>
              <w:b w:val="0"/>
            </w:rPr>
            <w:instrText xml:space="preserve">HYPERLINK \l "_Toc81238286"</w:instrText>
          </w:r>
          <w:r>
            <w:rPr>
              <w:rStyle w:val="16"/>
              <w:b w:val="0"/>
            </w:rPr>
            <w:instrText xml:space="preserve"> </w:instrText>
          </w:r>
          <w:r>
            <w:rPr>
              <w:rStyle w:val="16"/>
              <w:b w:val="0"/>
            </w:rPr>
            <w:fldChar w:fldCharType="separate"/>
          </w:r>
          <w:r>
            <w:rPr>
              <w:rStyle w:val="16"/>
              <w:rFonts w:hint="eastAsia" w:ascii="楷体_GB2312" w:eastAsia="楷体_GB2312"/>
              <w:b w:val="0"/>
            </w:rPr>
            <w:t>（一）发展布局</w:t>
          </w:r>
          <w:r>
            <w:rPr>
              <w:b w:val="0"/>
            </w:rPr>
            <w:tab/>
          </w:r>
          <w:r>
            <w:rPr>
              <w:b w:val="0"/>
            </w:rPr>
            <w:fldChar w:fldCharType="begin"/>
          </w:r>
          <w:r>
            <w:rPr>
              <w:b w:val="0"/>
            </w:rPr>
            <w:instrText xml:space="preserve"> PAGEREF _Toc81238286 \h </w:instrText>
          </w:r>
          <w:r>
            <w:rPr>
              <w:b w:val="0"/>
            </w:rPr>
            <w:fldChar w:fldCharType="separate"/>
          </w:r>
          <w:r>
            <w:rPr>
              <w:b w:val="0"/>
            </w:rPr>
            <w:t>9</w:t>
          </w:r>
          <w:r>
            <w:rPr>
              <w:b w:val="0"/>
            </w:rPr>
            <w:fldChar w:fldCharType="end"/>
          </w:r>
          <w:r>
            <w:rPr>
              <w:rStyle w:val="16"/>
              <w:b w:val="0"/>
            </w:rPr>
            <w:fldChar w:fldCharType="end"/>
          </w:r>
        </w:p>
        <w:p>
          <w:pPr>
            <w:pStyle w:val="10"/>
            <w:keepNext w:val="0"/>
            <w:keepLines w:val="0"/>
            <w:pageBreakBefore w:val="0"/>
            <w:widowControl w:val="0"/>
            <w:tabs>
              <w:tab w:val="right" w:leader="dot" w:pos="8820"/>
              <w:tab w:val="clear" w:pos="8296"/>
            </w:tabs>
            <w:kinsoku/>
            <w:wordWrap/>
            <w:overflowPunct/>
            <w:topLinePunct w:val="0"/>
            <w:autoSpaceDE/>
            <w:autoSpaceDN/>
            <w:bidi w:val="0"/>
            <w:adjustRightInd/>
            <w:snapToGrid/>
            <w:ind w:firstLine="560" w:firstLineChars="200"/>
            <w:textAlignment w:val="auto"/>
            <w:rPr>
              <w:rFonts w:asciiTheme="minorHAnsi" w:hAnsiTheme="minorHAnsi" w:eastAsiaTheme="minorEastAsia" w:cstheme="minorBidi"/>
              <w:b w:val="0"/>
              <w:bCs w:val="0"/>
              <w:sz w:val="21"/>
              <w:szCs w:val="22"/>
            </w:rPr>
          </w:pPr>
          <w:r>
            <w:rPr>
              <w:rStyle w:val="16"/>
              <w:b w:val="0"/>
            </w:rPr>
            <w:fldChar w:fldCharType="begin"/>
          </w:r>
          <w:r>
            <w:rPr>
              <w:rStyle w:val="16"/>
              <w:b w:val="0"/>
            </w:rPr>
            <w:instrText xml:space="preserve"> </w:instrText>
          </w:r>
          <w:r>
            <w:rPr>
              <w:b w:val="0"/>
            </w:rPr>
            <w:instrText xml:space="preserve">HYPERLINK \l "_Toc81238287"</w:instrText>
          </w:r>
          <w:r>
            <w:rPr>
              <w:rStyle w:val="16"/>
              <w:b w:val="0"/>
            </w:rPr>
            <w:instrText xml:space="preserve"> </w:instrText>
          </w:r>
          <w:r>
            <w:rPr>
              <w:rStyle w:val="16"/>
              <w:b w:val="0"/>
            </w:rPr>
            <w:fldChar w:fldCharType="separate"/>
          </w:r>
          <w:r>
            <w:rPr>
              <w:rStyle w:val="16"/>
              <w:rFonts w:hint="eastAsia" w:ascii="楷体_GB2312" w:eastAsia="楷体_GB2312"/>
              <w:b w:val="0"/>
            </w:rPr>
            <w:t>（二）网络布局</w:t>
          </w:r>
          <w:r>
            <w:rPr>
              <w:b w:val="0"/>
            </w:rPr>
            <w:tab/>
          </w:r>
          <w:r>
            <w:rPr>
              <w:b w:val="0"/>
            </w:rPr>
            <w:fldChar w:fldCharType="begin"/>
          </w:r>
          <w:r>
            <w:rPr>
              <w:b w:val="0"/>
            </w:rPr>
            <w:instrText xml:space="preserve"> PAGEREF _Toc81238287 \h </w:instrText>
          </w:r>
          <w:r>
            <w:rPr>
              <w:b w:val="0"/>
            </w:rPr>
            <w:fldChar w:fldCharType="separate"/>
          </w:r>
          <w:r>
            <w:rPr>
              <w:b w:val="0"/>
            </w:rPr>
            <w:t>10</w:t>
          </w:r>
          <w:r>
            <w:rPr>
              <w:b w:val="0"/>
            </w:rPr>
            <w:fldChar w:fldCharType="end"/>
          </w:r>
          <w:r>
            <w:rPr>
              <w:rStyle w:val="16"/>
              <w:b w:val="0"/>
            </w:rPr>
            <w:fldChar w:fldCharType="end"/>
          </w:r>
        </w:p>
        <w:p>
          <w:pPr>
            <w:pStyle w:val="9"/>
            <w:keepNext w:val="0"/>
            <w:keepLines w:val="0"/>
            <w:pageBreakBefore w:val="0"/>
            <w:widowControl w:val="0"/>
            <w:tabs>
              <w:tab w:val="right" w:leader="dot" w:pos="8820"/>
              <w:tab w:val="clear" w:pos="8296"/>
            </w:tabs>
            <w:kinsoku/>
            <w:wordWrap/>
            <w:overflowPunct/>
            <w:topLinePunct w:val="0"/>
            <w:autoSpaceDE/>
            <w:autoSpaceDN/>
            <w:bidi w:val="0"/>
            <w:adjustRightInd/>
            <w:snapToGrid/>
            <w:spacing w:line="500" w:lineRule="exact"/>
            <w:ind w:firstLine="600" w:firstLineChars="200"/>
            <w:textAlignment w:val="auto"/>
            <w:rPr>
              <w:rFonts w:asciiTheme="minorHAnsi" w:hAnsiTheme="minorHAnsi" w:eastAsiaTheme="minorEastAsia"/>
              <w:sz w:val="21"/>
              <w:szCs w:val="22"/>
            </w:rPr>
          </w:pPr>
          <w:r>
            <w:rPr>
              <w:rStyle w:val="16"/>
            </w:rPr>
            <w:fldChar w:fldCharType="begin"/>
          </w:r>
          <w:r>
            <w:rPr>
              <w:rStyle w:val="16"/>
            </w:rPr>
            <w:instrText xml:space="preserve"> </w:instrText>
          </w:r>
          <w:r>
            <w:instrText xml:space="preserve">HYPERLINK \l "_Toc81238288"</w:instrText>
          </w:r>
          <w:r>
            <w:rPr>
              <w:rStyle w:val="16"/>
            </w:rPr>
            <w:instrText xml:space="preserve"> </w:instrText>
          </w:r>
          <w:r>
            <w:rPr>
              <w:rStyle w:val="16"/>
            </w:rPr>
            <w:fldChar w:fldCharType="separate"/>
          </w:r>
          <w:r>
            <w:rPr>
              <w:rStyle w:val="16"/>
              <w:rFonts w:hint="eastAsia" w:cs="黑体"/>
            </w:rPr>
            <w:t>四、主要任务</w:t>
          </w:r>
          <w:r>
            <w:tab/>
          </w:r>
          <w:r>
            <w:fldChar w:fldCharType="begin"/>
          </w:r>
          <w:r>
            <w:instrText xml:space="preserve"> PAGEREF _Toc81238288 \h </w:instrText>
          </w:r>
          <w:r>
            <w:fldChar w:fldCharType="separate"/>
          </w:r>
          <w:r>
            <w:t>11</w:t>
          </w:r>
          <w:r>
            <w:fldChar w:fldCharType="end"/>
          </w:r>
          <w:r>
            <w:rPr>
              <w:rStyle w:val="16"/>
            </w:rPr>
            <w:fldChar w:fldCharType="end"/>
          </w:r>
        </w:p>
        <w:p>
          <w:pPr>
            <w:pStyle w:val="10"/>
            <w:keepNext w:val="0"/>
            <w:keepLines w:val="0"/>
            <w:pageBreakBefore w:val="0"/>
            <w:widowControl w:val="0"/>
            <w:tabs>
              <w:tab w:val="right" w:leader="dot" w:pos="8820"/>
              <w:tab w:val="clear" w:pos="8296"/>
            </w:tabs>
            <w:kinsoku/>
            <w:wordWrap/>
            <w:overflowPunct/>
            <w:topLinePunct w:val="0"/>
            <w:autoSpaceDE/>
            <w:autoSpaceDN/>
            <w:bidi w:val="0"/>
            <w:adjustRightInd/>
            <w:snapToGrid/>
            <w:ind w:firstLine="560" w:firstLineChars="200"/>
            <w:textAlignment w:val="auto"/>
            <w:rPr>
              <w:rFonts w:asciiTheme="minorHAnsi" w:hAnsiTheme="minorHAnsi" w:eastAsiaTheme="minorEastAsia" w:cstheme="minorBidi"/>
              <w:b w:val="0"/>
              <w:bCs w:val="0"/>
              <w:sz w:val="21"/>
              <w:szCs w:val="22"/>
            </w:rPr>
          </w:pPr>
          <w:r>
            <w:rPr>
              <w:rStyle w:val="16"/>
              <w:b w:val="0"/>
            </w:rPr>
            <w:fldChar w:fldCharType="begin"/>
          </w:r>
          <w:r>
            <w:rPr>
              <w:rStyle w:val="16"/>
              <w:b w:val="0"/>
            </w:rPr>
            <w:instrText xml:space="preserve"> </w:instrText>
          </w:r>
          <w:r>
            <w:rPr>
              <w:b w:val="0"/>
            </w:rPr>
            <w:instrText xml:space="preserve">HYPERLINK \l "_Toc81238289"</w:instrText>
          </w:r>
          <w:r>
            <w:rPr>
              <w:rStyle w:val="16"/>
              <w:b w:val="0"/>
            </w:rPr>
            <w:instrText xml:space="preserve"> </w:instrText>
          </w:r>
          <w:r>
            <w:rPr>
              <w:rStyle w:val="16"/>
              <w:b w:val="0"/>
            </w:rPr>
            <w:fldChar w:fldCharType="separate"/>
          </w:r>
          <w:r>
            <w:rPr>
              <w:rStyle w:val="16"/>
              <w:rFonts w:hint="eastAsia" w:ascii="楷体_GB2312" w:eastAsia="楷体_GB2312"/>
              <w:b w:val="0"/>
            </w:rPr>
            <w:t>（一）加强基础设施网络建设</w:t>
          </w:r>
          <w:r>
            <w:rPr>
              <w:b w:val="0"/>
            </w:rPr>
            <w:tab/>
          </w:r>
          <w:r>
            <w:rPr>
              <w:b w:val="0"/>
            </w:rPr>
            <w:fldChar w:fldCharType="begin"/>
          </w:r>
          <w:r>
            <w:rPr>
              <w:b w:val="0"/>
            </w:rPr>
            <w:instrText xml:space="preserve"> PAGEREF _Toc81238289 \h </w:instrText>
          </w:r>
          <w:r>
            <w:rPr>
              <w:b w:val="0"/>
            </w:rPr>
            <w:fldChar w:fldCharType="separate"/>
          </w:r>
          <w:r>
            <w:rPr>
              <w:b w:val="0"/>
            </w:rPr>
            <w:t>11</w:t>
          </w:r>
          <w:r>
            <w:rPr>
              <w:b w:val="0"/>
            </w:rPr>
            <w:fldChar w:fldCharType="end"/>
          </w:r>
          <w:r>
            <w:rPr>
              <w:rStyle w:val="16"/>
              <w:b w:val="0"/>
            </w:rPr>
            <w:fldChar w:fldCharType="end"/>
          </w:r>
        </w:p>
        <w:p>
          <w:pPr>
            <w:pStyle w:val="10"/>
            <w:keepNext w:val="0"/>
            <w:keepLines w:val="0"/>
            <w:pageBreakBefore w:val="0"/>
            <w:widowControl w:val="0"/>
            <w:tabs>
              <w:tab w:val="right" w:leader="dot" w:pos="8820"/>
              <w:tab w:val="clear" w:pos="8296"/>
            </w:tabs>
            <w:kinsoku/>
            <w:wordWrap/>
            <w:overflowPunct/>
            <w:topLinePunct w:val="0"/>
            <w:autoSpaceDE/>
            <w:autoSpaceDN/>
            <w:bidi w:val="0"/>
            <w:adjustRightInd/>
            <w:snapToGrid/>
            <w:ind w:firstLine="560" w:firstLineChars="200"/>
            <w:textAlignment w:val="auto"/>
            <w:rPr>
              <w:rFonts w:asciiTheme="minorHAnsi" w:hAnsiTheme="minorHAnsi" w:eastAsiaTheme="minorEastAsia" w:cstheme="minorBidi"/>
              <w:b w:val="0"/>
              <w:bCs w:val="0"/>
              <w:sz w:val="21"/>
              <w:szCs w:val="22"/>
            </w:rPr>
          </w:pPr>
          <w:r>
            <w:rPr>
              <w:rStyle w:val="16"/>
              <w:b w:val="0"/>
            </w:rPr>
            <w:fldChar w:fldCharType="begin"/>
          </w:r>
          <w:r>
            <w:rPr>
              <w:rStyle w:val="16"/>
              <w:b w:val="0"/>
            </w:rPr>
            <w:instrText xml:space="preserve"> </w:instrText>
          </w:r>
          <w:r>
            <w:rPr>
              <w:b w:val="0"/>
            </w:rPr>
            <w:instrText xml:space="preserve">HYPERLINK \l "_Toc81238290"</w:instrText>
          </w:r>
          <w:r>
            <w:rPr>
              <w:rStyle w:val="16"/>
              <w:b w:val="0"/>
            </w:rPr>
            <w:instrText xml:space="preserve"> </w:instrText>
          </w:r>
          <w:r>
            <w:rPr>
              <w:rStyle w:val="16"/>
              <w:b w:val="0"/>
            </w:rPr>
            <w:fldChar w:fldCharType="separate"/>
          </w:r>
          <w:r>
            <w:rPr>
              <w:rStyle w:val="16"/>
              <w:rFonts w:hint="eastAsia" w:ascii="楷体_GB2312" w:eastAsia="楷体_GB2312"/>
              <w:b w:val="0"/>
            </w:rPr>
            <w:t>（二）深度提升寄递服务品质</w:t>
          </w:r>
          <w:r>
            <w:rPr>
              <w:b w:val="0"/>
            </w:rPr>
            <w:tab/>
          </w:r>
          <w:r>
            <w:rPr>
              <w:b w:val="0"/>
            </w:rPr>
            <w:fldChar w:fldCharType="begin"/>
          </w:r>
          <w:r>
            <w:rPr>
              <w:b w:val="0"/>
            </w:rPr>
            <w:instrText xml:space="preserve"> PAGEREF _Toc81238290 \h </w:instrText>
          </w:r>
          <w:r>
            <w:rPr>
              <w:b w:val="0"/>
            </w:rPr>
            <w:fldChar w:fldCharType="separate"/>
          </w:r>
          <w:r>
            <w:rPr>
              <w:b w:val="0"/>
            </w:rPr>
            <w:t>13</w:t>
          </w:r>
          <w:r>
            <w:rPr>
              <w:b w:val="0"/>
            </w:rPr>
            <w:fldChar w:fldCharType="end"/>
          </w:r>
          <w:r>
            <w:rPr>
              <w:rStyle w:val="16"/>
              <w:b w:val="0"/>
            </w:rPr>
            <w:fldChar w:fldCharType="end"/>
          </w:r>
        </w:p>
        <w:p>
          <w:pPr>
            <w:pStyle w:val="10"/>
            <w:keepNext w:val="0"/>
            <w:keepLines w:val="0"/>
            <w:pageBreakBefore w:val="0"/>
            <w:widowControl w:val="0"/>
            <w:tabs>
              <w:tab w:val="right" w:leader="dot" w:pos="8820"/>
              <w:tab w:val="clear" w:pos="8296"/>
            </w:tabs>
            <w:kinsoku/>
            <w:wordWrap/>
            <w:overflowPunct/>
            <w:topLinePunct w:val="0"/>
            <w:autoSpaceDE/>
            <w:autoSpaceDN/>
            <w:bidi w:val="0"/>
            <w:adjustRightInd/>
            <w:snapToGrid/>
            <w:ind w:firstLine="560" w:firstLineChars="200"/>
            <w:textAlignment w:val="auto"/>
            <w:rPr>
              <w:rFonts w:asciiTheme="minorHAnsi" w:hAnsiTheme="minorHAnsi" w:eastAsiaTheme="minorEastAsia" w:cstheme="minorBidi"/>
              <w:b w:val="0"/>
              <w:bCs w:val="0"/>
              <w:sz w:val="21"/>
              <w:szCs w:val="22"/>
            </w:rPr>
          </w:pPr>
          <w:r>
            <w:rPr>
              <w:rStyle w:val="16"/>
              <w:b w:val="0"/>
            </w:rPr>
            <w:fldChar w:fldCharType="begin"/>
          </w:r>
          <w:r>
            <w:rPr>
              <w:rStyle w:val="16"/>
              <w:b w:val="0"/>
            </w:rPr>
            <w:instrText xml:space="preserve"> </w:instrText>
          </w:r>
          <w:r>
            <w:rPr>
              <w:b w:val="0"/>
            </w:rPr>
            <w:instrText xml:space="preserve">HYPERLINK \l "_Toc81238291"</w:instrText>
          </w:r>
          <w:r>
            <w:rPr>
              <w:rStyle w:val="16"/>
              <w:b w:val="0"/>
            </w:rPr>
            <w:instrText xml:space="preserve"> </w:instrText>
          </w:r>
          <w:r>
            <w:rPr>
              <w:rStyle w:val="16"/>
              <w:b w:val="0"/>
            </w:rPr>
            <w:fldChar w:fldCharType="separate"/>
          </w:r>
          <w:r>
            <w:rPr>
              <w:rStyle w:val="16"/>
              <w:rFonts w:hint="eastAsia" w:ascii="楷体_GB2312" w:eastAsia="楷体_GB2312"/>
              <w:b w:val="0"/>
            </w:rPr>
            <w:t>（三）加快寄递产业生态拓展</w:t>
          </w:r>
          <w:r>
            <w:rPr>
              <w:b w:val="0"/>
            </w:rPr>
            <w:tab/>
          </w:r>
          <w:r>
            <w:rPr>
              <w:b w:val="0"/>
            </w:rPr>
            <w:fldChar w:fldCharType="begin"/>
          </w:r>
          <w:r>
            <w:rPr>
              <w:b w:val="0"/>
            </w:rPr>
            <w:instrText xml:space="preserve"> PAGEREF _Toc81238291 \h </w:instrText>
          </w:r>
          <w:r>
            <w:rPr>
              <w:b w:val="0"/>
            </w:rPr>
            <w:fldChar w:fldCharType="separate"/>
          </w:r>
          <w:r>
            <w:rPr>
              <w:b w:val="0"/>
            </w:rPr>
            <w:t>14</w:t>
          </w:r>
          <w:r>
            <w:rPr>
              <w:b w:val="0"/>
            </w:rPr>
            <w:fldChar w:fldCharType="end"/>
          </w:r>
          <w:r>
            <w:rPr>
              <w:rStyle w:val="16"/>
              <w:b w:val="0"/>
            </w:rPr>
            <w:fldChar w:fldCharType="end"/>
          </w:r>
        </w:p>
        <w:p>
          <w:pPr>
            <w:pStyle w:val="10"/>
            <w:keepNext w:val="0"/>
            <w:keepLines w:val="0"/>
            <w:pageBreakBefore w:val="0"/>
            <w:widowControl w:val="0"/>
            <w:tabs>
              <w:tab w:val="right" w:leader="dot" w:pos="8820"/>
              <w:tab w:val="clear" w:pos="8296"/>
            </w:tabs>
            <w:kinsoku/>
            <w:wordWrap/>
            <w:overflowPunct/>
            <w:topLinePunct w:val="0"/>
            <w:autoSpaceDE/>
            <w:autoSpaceDN/>
            <w:bidi w:val="0"/>
            <w:adjustRightInd/>
            <w:snapToGrid/>
            <w:ind w:firstLine="560" w:firstLineChars="200"/>
            <w:textAlignment w:val="auto"/>
            <w:rPr>
              <w:rFonts w:asciiTheme="minorHAnsi" w:hAnsiTheme="minorHAnsi" w:eastAsiaTheme="minorEastAsia" w:cstheme="minorBidi"/>
              <w:b w:val="0"/>
              <w:bCs w:val="0"/>
              <w:sz w:val="21"/>
              <w:szCs w:val="22"/>
            </w:rPr>
          </w:pPr>
          <w:r>
            <w:rPr>
              <w:rStyle w:val="16"/>
              <w:b w:val="0"/>
            </w:rPr>
            <w:fldChar w:fldCharType="begin"/>
          </w:r>
          <w:r>
            <w:rPr>
              <w:rStyle w:val="16"/>
              <w:b w:val="0"/>
            </w:rPr>
            <w:instrText xml:space="preserve"> </w:instrText>
          </w:r>
          <w:r>
            <w:rPr>
              <w:b w:val="0"/>
            </w:rPr>
            <w:instrText xml:space="preserve">HYPERLINK \l "_Toc81238292"</w:instrText>
          </w:r>
          <w:r>
            <w:rPr>
              <w:rStyle w:val="16"/>
              <w:b w:val="0"/>
            </w:rPr>
            <w:instrText xml:space="preserve"> </w:instrText>
          </w:r>
          <w:r>
            <w:rPr>
              <w:rStyle w:val="16"/>
              <w:b w:val="0"/>
            </w:rPr>
            <w:fldChar w:fldCharType="separate"/>
          </w:r>
          <w:r>
            <w:rPr>
              <w:rStyle w:val="16"/>
              <w:rFonts w:hint="eastAsia" w:ascii="楷体_GB2312" w:eastAsia="楷体_GB2312"/>
              <w:b w:val="0"/>
            </w:rPr>
            <w:t>（四）加快培育区域市场优势</w:t>
          </w:r>
          <w:r>
            <w:rPr>
              <w:b w:val="0"/>
            </w:rPr>
            <w:tab/>
          </w:r>
          <w:r>
            <w:rPr>
              <w:b w:val="0"/>
            </w:rPr>
            <w:fldChar w:fldCharType="begin"/>
          </w:r>
          <w:r>
            <w:rPr>
              <w:b w:val="0"/>
            </w:rPr>
            <w:instrText xml:space="preserve"> PAGEREF _Toc81238292 \h </w:instrText>
          </w:r>
          <w:r>
            <w:rPr>
              <w:b w:val="0"/>
            </w:rPr>
            <w:fldChar w:fldCharType="separate"/>
          </w:r>
          <w:r>
            <w:rPr>
              <w:b w:val="0"/>
            </w:rPr>
            <w:t>15</w:t>
          </w:r>
          <w:r>
            <w:rPr>
              <w:b w:val="0"/>
            </w:rPr>
            <w:fldChar w:fldCharType="end"/>
          </w:r>
          <w:r>
            <w:rPr>
              <w:rStyle w:val="16"/>
              <w:b w:val="0"/>
            </w:rPr>
            <w:fldChar w:fldCharType="end"/>
          </w:r>
        </w:p>
        <w:p>
          <w:pPr>
            <w:pStyle w:val="10"/>
            <w:keepNext w:val="0"/>
            <w:keepLines w:val="0"/>
            <w:pageBreakBefore w:val="0"/>
            <w:widowControl w:val="0"/>
            <w:tabs>
              <w:tab w:val="right" w:leader="dot" w:pos="8820"/>
              <w:tab w:val="clear" w:pos="8296"/>
            </w:tabs>
            <w:kinsoku/>
            <w:wordWrap/>
            <w:overflowPunct/>
            <w:topLinePunct w:val="0"/>
            <w:autoSpaceDE/>
            <w:autoSpaceDN/>
            <w:bidi w:val="0"/>
            <w:adjustRightInd/>
            <w:snapToGrid/>
            <w:ind w:firstLine="560" w:firstLineChars="200"/>
            <w:textAlignment w:val="auto"/>
            <w:rPr>
              <w:rFonts w:asciiTheme="minorHAnsi" w:hAnsiTheme="minorHAnsi" w:eastAsiaTheme="minorEastAsia" w:cstheme="minorBidi"/>
              <w:b w:val="0"/>
              <w:bCs w:val="0"/>
              <w:sz w:val="21"/>
              <w:szCs w:val="22"/>
            </w:rPr>
          </w:pPr>
          <w:r>
            <w:rPr>
              <w:rStyle w:val="16"/>
              <w:b w:val="0"/>
            </w:rPr>
            <w:fldChar w:fldCharType="begin"/>
          </w:r>
          <w:r>
            <w:rPr>
              <w:rStyle w:val="16"/>
              <w:b w:val="0"/>
            </w:rPr>
            <w:instrText xml:space="preserve"> </w:instrText>
          </w:r>
          <w:r>
            <w:rPr>
              <w:b w:val="0"/>
            </w:rPr>
            <w:instrText xml:space="preserve">HYPERLINK \l "_Toc81238293"</w:instrText>
          </w:r>
          <w:r>
            <w:rPr>
              <w:rStyle w:val="16"/>
              <w:b w:val="0"/>
            </w:rPr>
            <w:instrText xml:space="preserve"> </w:instrText>
          </w:r>
          <w:r>
            <w:rPr>
              <w:rStyle w:val="16"/>
              <w:b w:val="0"/>
            </w:rPr>
            <w:fldChar w:fldCharType="separate"/>
          </w:r>
          <w:r>
            <w:rPr>
              <w:rStyle w:val="16"/>
              <w:rFonts w:hint="eastAsia" w:ascii="楷体_GB2312" w:eastAsia="楷体_GB2312"/>
              <w:b w:val="0"/>
            </w:rPr>
            <w:t>（五）推进行业实现科技创新</w:t>
          </w:r>
          <w:r>
            <w:rPr>
              <w:b w:val="0"/>
            </w:rPr>
            <w:tab/>
          </w:r>
          <w:r>
            <w:rPr>
              <w:b w:val="0"/>
            </w:rPr>
            <w:fldChar w:fldCharType="begin"/>
          </w:r>
          <w:r>
            <w:rPr>
              <w:b w:val="0"/>
            </w:rPr>
            <w:instrText xml:space="preserve"> PAGEREF _Toc81238293 \h </w:instrText>
          </w:r>
          <w:r>
            <w:rPr>
              <w:b w:val="0"/>
            </w:rPr>
            <w:fldChar w:fldCharType="separate"/>
          </w:r>
          <w:r>
            <w:rPr>
              <w:b w:val="0"/>
            </w:rPr>
            <w:t>16</w:t>
          </w:r>
          <w:r>
            <w:rPr>
              <w:b w:val="0"/>
            </w:rPr>
            <w:fldChar w:fldCharType="end"/>
          </w:r>
          <w:r>
            <w:rPr>
              <w:rStyle w:val="16"/>
              <w:b w:val="0"/>
            </w:rPr>
            <w:fldChar w:fldCharType="end"/>
          </w:r>
        </w:p>
        <w:p>
          <w:pPr>
            <w:pStyle w:val="10"/>
            <w:keepNext w:val="0"/>
            <w:keepLines w:val="0"/>
            <w:pageBreakBefore w:val="0"/>
            <w:widowControl w:val="0"/>
            <w:tabs>
              <w:tab w:val="right" w:leader="dot" w:pos="8820"/>
              <w:tab w:val="clear" w:pos="8296"/>
            </w:tabs>
            <w:kinsoku/>
            <w:wordWrap/>
            <w:overflowPunct/>
            <w:topLinePunct w:val="0"/>
            <w:autoSpaceDE/>
            <w:autoSpaceDN/>
            <w:bidi w:val="0"/>
            <w:adjustRightInd/>
            <w:snapToGrid/>
            <w:ind w:firstLine="560" w:firstLineChars="200"/>
            <w:textAlignment w:val="auto"/>
            <w:rPr>
              <w:rFonts w:asciiTheme="minorHAnsi" w:hAnsiTheme="minorHAnsi" w:eastAsiaTheme="minorEastAsia" w:cstheme="minorBidi"/>
              <w:b w:val="0"/>
              <w:bCs w:val="0"/>
              <w:sz w:val="21"/>
              <w:szCs w:val="22"/>
            </w:rPr>
          </w:pPr>
          <w:r>
            <w:rPr>
              <w:rStyle w:val="16"/>
              <w:b w:val="0"/>
            </w:rPr>
            <w:fldChar w:fldCharType="begin"/>
          </w:r>
          <w:r>
            <w:rPr>
              <w:rStyle w:val="16"/>
              <w:b w:val="0"/>
            </w:rPr>
            <w:instrText xml:space="preserve"> </w:instrText>
          </w:r>
          <w:r>
            <w:rPr>
              <w:b w:val="0"/>
            </w:rPr>
            <w:instrText xml:space="preserve">HYPERLINK \l "_Toc81238294"</w:instrText>
          </w:r>
          <w:r>
            <w:rPr>
              <w:rStyle w:val="16"/>
              <w:b w:val="0"/>
            </w:rPr>
            <w:instrText xml:space="preserve"> </w:instrText>
          </w:r>
          <w:r>
            <w:rPr>
              <w:rStyle w:val="16"/>
              <w:b w:val="0"/>
            </w:rPr>
            <w:fldChar w:fldCharType="separate"/>
          </w:r>
          <w:r>
            <w:rPr>
              <w:rStyle w:val="16"/>
              <w:rFonts w:hint="eastAsia" w:ascii="楷体_GB2312" w:eastAsia="楷体_GB2312"/>
              <w:b w:val="0"/>
            </w:rPr>
            <w:t>（六）持续优化行业发展环境</w:t>
          </w:r>
          <w:r>
            <w:rPr>
              <w:b w:val="0"/>
            </w:rPr>
            <w:tab/>
          </w:r>
          <w:r>
            <w:rPr>
              <w:b w:val="0"/>
            </w:rPr>
            <w:fldChar w:fldCharType="begin"/>
          </w:r>
          <w:r>
            <w:rPr>
              <w:b w:val="0"/>
            </w:rPr>
            <w:instrText xml:space="preserve"> PAGEREF _Toc81238294 \h </w:instrText>
          </w:r>
          <w:r>
            <w:rPr>
              <w:b w:val="0"/>
            </w:rPr>
            <w:fldChar w:fldCharType="separate"/>
          </w:r>
          <w:r>
            <w:rPr>
              <w:b w:val="0"/>
            </w:rPr>
            <w:t>17</w:t>
          </w:r>
          <w:r>
            <w:rPr>
              <w:b w:val="0"/>
            </w:rPr>
            <w:fldChar w:fldCharType="end"/>
          </w:r>
          <w:r>
            <w:rPr>
              <w:rStyle w:val="16"/>
              <w:b w:val="0"/>
            </w:rPr>
            <w:fldChar w:fldCharType="end"/>
          </w:r>
        </w:p>
        <w:p>
          <w:pPr>
            <w:pStyle w:val="10"/>
            <w:keepNext w:val="0"/>
            <w:keepLines w:val="0"/>
            <w:pageBreakBefore w:val="0"/>
            <w:widowControl w:val="0"/>
            <w:tabs>
              <w:tab w:val="right" w:leader="dot" w:pos="8820"/>
              <w:tab w:val="clear" w:pos="8296"/>
            </w:tabs>
            <w:kinsoku/>
            <w:wordWrap/>
            <w:overflowPunct/>
            <w:topLinePunct w:val="0"/>
            <w:autoSpaceDE/>
            <w:autoSpaceDN/>
            <w:bidi w:val="0"/>
            <w:adjustRightInd/>
            <w:snapToGrid/>
            <w:ind w:firstLine="560" w:firstLineChars="200"/>
            <w:textAlignment w:val="auto"/>
            <w:rPr>
              <w:rFonts w:asciiTheme="minorHAnsi" w:hAnsiTheme="minorHAnsi" w:eastAsiaTheme="minorEastAsia" w:cstheme="minorBidi"/>
              <w:b w:val="0"/>
              <w:bCs w:val="0"/>
              <w:sz w:val="21"/>
              <w:szCs w:val="22"/>
            </w:rPr>
          </w:pPr>
          <w:r>
            <w:rPr>
              <w:rStyle w:val="16"/>
              <w:b w:val="0"/>
            </w:rPr>
            <w:fldChar w:fldCharType="begin"/>
          </w:r>
          <w:r>
            <w:rPr>
              <w:rStyle w:val="16"/>
              <w:b w:val="0"/>
            </w:rPr>
            <w:instrText xml:space="preserve"> </w:instrText>
          </w:r>
          <w:r>
            <w:rPr>
              <w:b w:val="0"/>
            </w:rPr>
            <w:instrText xml:space="preserve">HYPERLINK \l "_Toc81238295"</w:instrText>
          </w:r>
          <w:r>
            <w:rPr>
              <w:rStyle w:val="16"/>
              <w:b w:val="0"/>
            </w:rPr>
            <w:instrText xml:space="preserve"> </w:instrText>
          </w:r>
          <w:r>
            <w:rPr>
              <w:rStyle w:val="16"/>
              <w:b w:val="0"/>
            </w:rPr>
            <w:fldChar w:fldCharType="separate"/>
          </w:r>
          <w:r>
            <w:rPr>
              <w:rStyle w:val="16"/>
              <w:rFonts w:hint="eastAsia" w:ascii="楷体_GB2312" w:eastAsia="楷体_GB2312"/>
              <w:b w:val="0"/>
            </w:rPr>
            <w:t>（七）提高行业监管治理能力</w:t>
          </w:r>
          <w:r>
            <w:rPr>
              <w:b w:val="0"/>
            </w:rPr>
            <w:tab/>
          </w:r>
          <w:r>
            <w:rPr>
              <w:b w:val="0"/>
            </w:rPr>
            <w:fldChar w:fldCharType="begin"/>
          </w:r>
          <w:r>
            <w:rPr>
              <w:b w:val="0"/>
            </w:rPr>
            <w:instrText xml:space="preserve"> PAGEREF _Toc81238295 \h </w:instrText>
          </w:r>
          <w:r>
            <w:rPr>
              <w:b w:val="0"/>
            </w:rPr>
            <w:fldChar w:fldCharType="separate"/>
          </w:r>
          <w:r>
            <w:rPr>
              <w:b w:val="0"/>
            </w:rPr>
            <w:t>17</w:t>
          </w:r>
          <w:r>
            <w:rPr>
              <w:b w:val="0"/>
            </w:rPr>
            <w:fldChar w:fldCharType="end"/>
          </w:r>
          <w:r>
            <w:rPr>
              <w:rStyle w:val="16"/>
              <w:b w:val="0"/>
            </w:rPr>
            <w:fldChar w:fldCharType="end"/>
          </w:r>
        </w:p>
        <w:p>
          <w:pPr>
            <w:pStyle w:val="10"/>
            <w:keepNext w:val="0"/>
            <w:keepLines w:val="0"/>
            <w:pageBreakBefore w:val="0"/>
            <w:widowControl w:val="0"/>
            <w:tabs>
              <w:tab w:val="right" w:leader="dot" w:pos="8820"/>
              <w:tab w:val="clear" w:pos="8296"/>
            </w:tabs>
            <w:kinsoku/>
            <w:wordWrap/>
            <w:overflowPunct/>
            <w:topLinePunct w:val="0"/>
            <w:autoSpaceDE/>
            <w:autoSpaceDN/>
            <w:bidi w:val="0"/>
            <w:adjustRightInd/>
            <w:snapToGrid/>
            <w:ind w:firstLine="560" w:firstLineChars="200"/>
            <w:textAlignment w:val="auto"/>
            <w:rPr>
              <w:rFonts w:asciiTheme="minorHAnsi" w:hAnsiTheme="minorHAnsi" w:eastAsiaTheme="minorEastAsia" w:cstheme="minorBidi"/>
              <w:b w:val="0"/>
              <w:bCs w:val="0"/>
              <w:sz w:val="21"/>
              <w:szCs w:val="22"/>
            </w:rPr>
          </w:pPr>
          <w:r>
            <w:rPr>
              <w:rStyle w:val="16"/>
              <w:b w:val="0"/>
            </w:rPr>
            <w:fldChar w:fldCharType="begin"/>
          </w:r>
          <w:r>
            <w:rPr>
              <w:rStyle w:val="16"/>
              <w:b w:val="0"/>
            </w:rPr>
            <w:instrText xml:space="preserve"> </w:instrText>
          </w:r>
          <w:r>
            <w:rPr>
              <w:b w:val="0"/>
            </w:rPr>
            <w:instrText xml:space="preserve">HYPERLINK \l "_Toc81238296"</w:instrText>
          </w:r>
          <w:r>
            <w:rPr>
              <w:rStyle w:val="16"/>
              <w:b w:val="0"/>
            </w:rPr>
            <w:instrText xml:space="preserve"> </w:instrText>
          </w:r>
          <w:r>
            <w:rPr>
              <w:rStyle w:val="16"/>
              <w:b w:val="0"/>
            </w:rPr>
            <w:fldChar w:fldCharType="separate"/>
          </w:r>
          <w:r>
            <w:rPr>
              <w:rStyle w:val="16"/>
              <w:rFonts w:hint="eastAsia" w:ascii="楷体_GB2312" w:eastAsia="楷体_GB2312"/>
              <w:b w:val="0"/>
            </w:rPr>
            <w:t>（八）提升绿色低碳治理水平</w:t>
          </w:r>
          <w:r>
            <w:rPr>
              <w:b w:val="0"/>
            </w:rPr>
            <w:tab/>
          </w:r>
          <w:r>
            <w:rPr>
              <w:b w:val="0"/>
            </w:rPr>
            <w:fldChar w:fldCharType="begin"/>
          </w:r>
          <w:r>
            <w:rPr>
              <w:b w:val="0"/>
            </w:rPr>
            <w:instrText xml:space="preserve"> PAGEREF _Toc81238296 \h </w:instrText>
          </w:r>
          <w:r>
            <w:rPr>
              <w:b w:val="0"/>
            </w:rPr>
            <w:fldChar w:fldCharType="separate"/>
          </w:r>
          <w:r>
            <w:rPr>
              <w:b w:val="0"/>
            </w:rPr>
            <w:t>18</w:t>
          </w:r>
          <w:r>
            <w:rPr>
              <w:b w:val="0"/>
            </w:rPr>
            <w:fldChar w:fldCharType="end"/>
          </w:r>
          <w:r>
            <w:rPr>
              <w:rStyle w:val="16"/>
              <w:b w:val="0"/>
            </w:rPr>
            <w:fldChar w:fldCharType="end"/>
          </w:r>
        </w:p>
        <w:p>
          <w:pPr>
            <w:pStyle w:val="9"/>
            <w:keepNext w:val="0"/>
            <w:keepLines w:val="0"/>
            <w:pageBreakBefore w:val="0"/>
            <w:widowControl w:val="0"/>
            <w:tabs>
              <w:tab w:val="right" w:leader="dot" w:pos="8820"/>
              <w:tab w:val="clear" w:pos="8296"/>
            </w:tabs>
            <w:kinsoku/>
            <w:wordWrap/>
            <w:overflowPunct/>
            <w:topLinePunct w:val="0"/>
            <w:autoSpaceDE/>
            <w:autoSpaceDN/>
            <w:bidi w:val="0"/>
            <w:adjustRightInd/>
            <w:snapToGrid/>
            <w:spacing w:line="500" w:lineRule="exact"/>
            <w:ind w:firstLine="600" w:firstLineChars="200"/>
            <w:textAlignment w:val="auto"/>
            <w:rPr>
              <w:rFonts w:asciiTheme="minorHAnsi" w:hAnsiTheme="minorHAnsi" w:eastAsiaTheme="minorEastAsia"/>
              <w:sz w:val="21"/>
              <w:szCs w:val="22"/>
            </w:rPr>
          </w:pPr>
          <w:r>
            <w:rPr>
              <w:rStyle w:val="16"/>
            </w:rPr>
            <w:fldChar w:fldCharType="begin"/>
          </w:r>
          <w:r>
            <w:rPr>
              <w:rStyle w:val="16"/>
            </w:rPr>
            <w:instrText xml:space="preserve"> </w:instrText>
          </w:r>
          <w:r>
            <w:instrText xml:space="preserve">HYPERLINK \l "_Toc81238297"</w:instrText>
          </w:r>
          <w:r>
            <w:rPr>
              <w:rStyle w:val="16"/>
            </w:rPr>
            <w:instrText xml:space="preserve"> </w:instrText>
          </w:r>
          <w:r>
            <w:rPr>
              <w:rStyle w:val="16"/>
            </w:rPr>
            <w:fldChar w:fldCharType="separate"/>
          </w:r>
          <w:r>
            <w:rPr>
              <w:rStyle w:val="16"/>
              <w:rFonts w:hint="eastAsia" w:cs="黑体"/>
            </w:rPr>
            <w:t>五、保障措施</w:t>
          </w:r>
          <w:r>
            <w:tab/>
          </w:r>
          <w:r>
            <w:fldChar w:fldCharType="begin"/>
          </w:r>
          <w:r>
            <w:instrText xml:space="preserve"> PAGEREF _Toc81238297 \h </w:instrText>
          </w:r>
          <w:r>
            <w:fldChar w:fldCharType="separate"/>
          </w:r>
          <w:r>
            <w:t>19</w:t>
          </w:r>
          <w:r>
            <w:fldChar w:fldCharType="end"/>
          </w:r>
          <w:r>
            <w:rPr>
              <w:rStyle w:val="16"/>
            </w:rPr>
            <w:fldChar w:fldCharType="end"/>
          </w:r>
        </w:p>
        <w:p>
          <w:pPr>
            <w:pStyle w:val="10"/>
            <w:keepNext w:val="0"/>
            <w:keepLines w:val="0"/>
            <w:pageBreakBefore w:val="0"/>
            <w:widowControl w:val="0"/>
            <w:tabs>
              <w:tab w:val="right" w:leader="dot" w:pos="8820"/>
              <w:tab w:val="clear" w:pos="8296"/>
            </w:tabs>
            <w:kinsoku/>
            <w:wordWrap/>
            <w:overflowPunct/>
            <w:topLinePunct w:val="0"/>
            <w:autoSpaceDE/>
            <w:autoSpaceDN/>
            <w:bidi w:val="0"/>
            <w:adjustRightInd/>
            <w:snapToGrid/>
            <w:ind w:firstLine="560" w:firstLineChars="200"/>
            <w:textAlignment w:val="auto"/>
            <w:rPr>
              <w:rFonts w:asciiTheme="minorHAnsi" w:hAnsiTheme="minorHAnsi" w:eastAsiaTheme="minorEastAsia" w:cstheme="minorBidi"/>
              <w:b w:val="0"/>
              <w:bCs w:val="0"/>
              <w:sz w:val="21"/>
              <w:szCs w:val="22"/>
            </w:rPr>
          </w:pPr>
          <w:r>
            <w:rPr>
              <w:rStyle w:val="16"/>
              <w:b w:val="0"/>
            </w:rPr>
            <w:fldChar w:fldCharType="begin"/>
          </w:r>
          <w:r>
            <w:rPr>
              <w:rStyle w:val="16"/>
              <w:b w:val="0"/>
            </w:rPr>
            <w:instrText xml:space="preserve"> </w:instrText>
          </w:r>
          <w:r>
            <w:rPr>
              <w:b w:val="0"/>
            </w:rPr>
            <w:instrText xml:space="preserve">HYPERLINK \l "_Toc81238298"</w:instrText>
          </w:r>
          <w:r>
            <w:rPr>
              <w:rStyle w:val="16"/>
              <w:b w:val="0"/>
            </w:rPr>
            <w:instrText xml:space="preserve"> </w:instrText>
          </w:r>
          <w:r>
            <w:rPr>
              <w:rStyle w:val="16"/>
              <w:b w:val="0"/>
            </w:rPr>
            <w:fldChar w:fldCharType="separate"/>
          </w:r>
          <w:r>
            <w:rPr>
              <w:rStyle w:val="16"/>
              <w:rFonts w:hint="eastAsia" w:ascii="楷体_GB2312" w:hAnsi="楷体_GB2312" w:eastAsia="楷体_GB2312" w:cs="楷体_GB2312"/>
              <w:b w:val="0"/>
            </w:rPr>
            <w:t>（一）加强党建引领</w:t>
          </w:r>
          <w:r>
            <w:rPr>
              <w:b w:val="0"/>
            </w:rPr>
            <w:tab/>
          </w:r>
          <w:r>
            <w:rPr>
              <w:b w:val="0"/>
            </w:rPr>
            <w:fldChar w:fldCharType="begin"/>
          </w:r>
          <w:r>
            <w:rPr>
              <w:b w:val="0"/>
            </w:rPr>
            <w:instrText xml:space="preserve"> PAGEREF _Toc81238298 \h </w:instrText>
          </w:r>
          <w:r>
            <w:rPr>
              <w:b w:val="0"/>
            </w:rPr>
            <w:fldChar w:fldCharType="separate"/>
          </w:r>
          <w:r>
            <w:rPr>
              <w:b w:val="0"/>
            </w:rPr>
            <w:t>19</w:t>
          </w:r>
          <w:r>
            <w:rPr>
              <w:b w:val="0"/>
            </w:rPr>
            <w:fldChar w:fldCharType="end"/>
          </w:r>
          <w:r>
            <w:rPr>
              <w:rStyle w:val="16"/>
              <w:b w:val="0"/>
            </w:rPr>
            <w:fldChar w:fldCharType="end"/>
          </w:r>
        </w:p>
        <w:p>
          <w:pPr>
            <w:pStyle w:val="10"/>
            <w:keepNext w:val="0"/>
            <w:keepLines w:val="0"/>
            <w:pageBreakBefore w:val="0"/>
            <w:widowControl w:val="0"/>
            <w:tabs>
              <w:tab w:val="right" w:leader="dot" w:pos="8820"/>
              <w:tab w:val="clear" w:pos="8296"/>
            </w:tabs>
            <w:kinsoku/>
            <w:wordWrap/>
            <w:overflowPunct/>
            <w:topLinePunct w:val="0"/>
            <w:autoSpaceDE/>
            <w:autoSpaceDN/>
            <w:bidi w:val="0"/>
            <w:adjustRightInd/>
            <w:snapToGrid/>
            <w:ind w:firstLine="560" w:firstLineChars="200"/>
            <w:textAlignment w:val="auto"/>
            <w:rPr>
              <w:rFonts w:asciiTheme="minorHAnsi" w:hAnsiTheme="minorHAnsi" w:eastAsiaTheme="minorEastAsia" w:cstheme="minorBidi"/>
              <w:b w:val="0"/>
              <w:bCs w:val="0"/>
              <w:sz w:val="21"/>
              <w:szCs w:val="22"/>
            </w:rPr>
          </w:pPr>
          <w:r>
            <w:rPr>
              <w:rStyle w:val="16"/>
              <w:b w:val="0"/>
            </w:rPr>
            <w:fldChar w:fldCharType="begin"/>
          </w:r>
          <w:r>
            <w:rPr>
              <w:rStyle w:val="16"/>
              <w:b w:val="0"/>
            </w:rPr>
            <w:instrText xml:space="preserve"> </w:instrText>
          </w:r>
          <w:r>
            <w:rPr>
              <w:b w:val="0"/>
            </w:rPr>
            <w:instrText xml:space="preserve">HYPERLINK \l "_Toc81238299"</w:instrText>
          </w:r>
          <w:r>
            <w:rPr>
              <w:rStyle w:val="16"/>
              <w:b w:val="0"/>
            </w:rPr>
            <w:instrText xml:space="preserve"> </w:instrText>
          </w:r>
          <w:r>
            <w:rPr>
              <w:rStyle w:val="16"/>
              <w:b w:val="0"/>
            </w:rPr>
            <w:fldChar w:fldCharType="separate"/>
          </w:r>
          <w:r>
            <w:rPr>
              <w:rStyle w:val="16"/>
              <w:rFonts w:hint="eastAsia" w:ascii="楷体_GB2312" w:hAnsi="楷体_GB2312" w:eastAsia="楷体_GB2312" w:cs="楷体_GB2312"/>
              <w:b w:val="0"/>
            </w:rPr>
            <w:t>（二）加强组织领导</w:t>
          </w:r>
          <w:r>
            <w:rPr>
              <w:b w:val="0"/>
            </w:rPr>
            <w:tab/>
          </w:r>
          <w:r>
            <w:rPr>
              <w:b w:val="0"/>
            </w:rPr>
            <w:fldChar w:fldCharType="begin"/>
          </w:r>
          <w:r>
            <w:rPr>
              <w:b w:val="0"/>
            </w:rPr>
            <w:instrText xml:space="preserve"> PAGEREF _Toc81238299 \h </w:instrText>
          </w:r>
          <w:r>
            <w:rPr>
              <w:b w:val="0"/>
            </w:rPr>
            <w:fldChar w:fldCharType="separate"/>
          </w:r>
          <w:r>
            <w:rPr>
              <w:b w:val="0"/>
            </w:rPr>
            <w:t>20</w:t>
          </w:r>
          <w:r>
            <w:rPr>
              <w:b w:val="0"/>
            </w:rPr>
            <w:fldChar w:fldCharType="end"/>
          </w:r>
          <w:r>
            <w:rPr>
              <w:rStyle w:val="16"/>
              <w:b w:val="0"/>
            </w:rPr>
            <w:fldChar w:fldCharType="end"/>
          </w:r>
        </w:p>
        <w:p>
          <w:pPr>
            <w:pStyle w:val="10"/>
            <w:keepNext w:val="0"/>
            <w:keepLines w:val="0"/>
            <w:pageBreakBefore w:val="0"/>
            <w:widowControl w:val="0"/>
            <w:tabs>
              <w:tab w:val="right" w:leader="dot" w:pos="8820"/>
              <w:tab w:val="clear" w:pos="8296"/>
            </w:tabs>
            <w:kinsoku/>
            <w:wordWrap/>
            <w:overflowPunct/>
            <w:topLinePunct w:val="0"/>
            <w:autoSpaceDE/>
            <w:autoSpaceDN/>
            <w:bidi w:val="0"/>
            <w:adjustRightInd/>
            <w:snapToGrid/>
            <w:ind w:firstLine="560" w:firstLineChars="200"/>
            <w:textAlignment w:val="auto"/>
            <w:rPr>
              <w:rFonts w:asciiTheme="minorHAnsi" w:hAnsiTheme="minorHAnsi" w:eastAsiaTheme="minorEastAsia" w:cstheme="minorBidi"/>
              <w:b w:val="0"/>
              <w:bCs w:val="0"/>
              <w:sz w:val="21"/>
              <w:szCs w:val="22"/>
            </w:rPr>
          </w:pPr>
          <w:r>
            <w:rPr>
              <w:rStyle w:val="16"/>
              <w:b w:val="0"/>
            </w:rPr>
            <w:fldChar w:fldCharType="begin"/>
          </w:r>
          <w:r>
            <w:rPr>
              <w:rStyle w:val="16"/>
              <w:b w:val="0"/>
            </w:rPr>
            <w:instrText xml:space="preserve"> </w:instrText>
          </w:r>
          <w:r>
            <w:rPr>
              <w:b w:val="0"/>
            </w:rPr>
            <w:instrText xml:space="preserve">HYPERLINK \l "_Toc81238300"</w:instrText>
          </w:r>
          <w:r>
            <w:rPr>
              <w:rStyle w:val="16"/>
              <w:b w:val="0"/>
            </w:rPr>
            <w:instrText xml:space="preserve"> </w:instrText>
          </w:r>
          <w:r>
            <w:rPr>
              <w:rStyle w:val="16"/>
              <w:b w:val="0"/>
            </w:rPr>
            <w:fldChar w:fldCharType="separate"/>
          </w:r>
          <w:r>
            <w:rPr>
              <w:rStyle w:val="16"/>
              <w:rFonts w:hint="eastAsia" w:ascii="楷体_GB2312" w:hAnsi="楷体_GB2312" w:eastAsia="楷体_GB2312" w:cs="楷体_GB2312"/>
              <w:b w:val="0"/>
            </w:rPr>
            <w:t>（三）加强实施管理</w:t>
          </w:r>
          <w:r>
            <w:rPr>
              <w:b w:val="0"/>
            </w:rPr>
            <w:tab/>
          </w:r>
          <w:r>
            <w:rPr>
              <w:b w:val="0"/>
            </w:rPr>
            <w:fldChar w:fldCharType="begin"/>
          </w:r>
          <w:r>
            <w:rPr>
              <w:b w:val="0"/>
            </w:rPr>
            <w:instrText xml:space="preserve"> PAGEREF _Toc81238300 \h </w:instrText>
          </w:r>
          <w:r>
            <w:rPr>
              <w:b w:val="0"/>
            </w:rPr>
            <w:fldChar w:fldCharType="separate"/>
          </w:r>
          <w:r>
            <w:rPr>
              <w:b w:val="0"/>
            </w:rPr>
            <w:t>20</w:t>
          </w:r>
          <w:r>
            <w:rPr>
              <w:b w:val="0"/>
            </w:rPr>
            <w:fldChar w:fldCharType="end"/>
          </w:r>
          <w:r>
            <w:rPr>
              <w:rStyle w:val="16"/>
              <w:b w:val="0"/>
            </w:rPr>
            <w:fldChar w:fldCharType="end"/>
          </w:r>
        </w:p>
        <w:p>
          <w:pPr>
            <w:pStyle w:val="10"/>
            <w:keepNext w:val="0"/>
            <w:keepLines w:val="0"/>
            <w:pageBreakBefore w:val="0"/>
            <w:widowControl w:val="0"/>
            <w:tabs>
              <w:tab w:val="right" w:leader="dot" w:pos="8820"/>
              <w:tab w:val="clear" w:pos="8296"/>
            </w:tabs>
            <w:kinsoku/>
            <w:wordWrap/>
            <w:overflowPunct/>
            <w:topLinePunct w:val="0"/>
            <w:autoSpaceDE/>
            <w:autoSpaceDN/>
            <w:bidi w:val="0"/>
            <w:adjustRightInd/>
            <w:snapToGrid/>
            <w:ind w:firstLine="560" w:firstLineChars="200"/>
            <w:textAlignment w:val="auto"/>
            <w:rPr>
              <w:rFonts w:asciiTheme="minorHAnsi" w:hAnsiTheme="minorHAnsi" w:eastAsiaTheme="minorEastAsia" w:cstheme="minorBidi"/>
              <w:b w:val="0"/>
              <w:bCs w:val="0"/>
              <w:sz w:val="21"/>
              <w:szCs w:val="22"/>
            </w:rPr>
          </w:pPr>
          <w:r>
            <w:rPr>
              <w:rStyle w:val="16"/>
              <w:b w:val="0"/>
            </w:rPr>
            <w:fldChar w:fldCharType="begin"/>
          </w:r>
          <w:r>
            <w:rPr>
              <w:rStyle w:val="16"/>
              <w:b w:val="0"/>
            </w:rPr>
            <w:instrText xml:space="preserve"> </w:instrText>
          </w:r>
          <w:r>
            <w:rPr>
              <w:b w:val="0"/>
            </w:rPr>
            <w:instrText xml:space="preserve">HYPERLINK \l "_Toc81238301"</w:instrText>
          </w:r>
          <w:r>
            <w:rPr>
              <w:rStyle w:val="16"/>
              <w:b w:val="0"/>
            </w:rPr>
            <w:instrText xml:space="preserve"> </w:instrText>
          </w:r>
          <w:r>
            <w:rPr>
              <w:rStyle w:val="16"/>
              <w:b w:val="0"/>
            </w:rPr>
            <w:fldChar w:fldCharType="separate"/>
          </w:r>
          <w:r>
            <w:rPr>
              <w:rStyle w:val="16"/>
              <w:rFonts w:hint="eastAsia" w:ascii="楷体_GB2312" w:hAnsi="楷体_GB2312" w:eastAsia="楷体_GB2312" w:cs="楷体_GB2312"/>
              <w:b w:val="0"/>
            </w:rPr>
            <w:t>（四）加强政策保障</w:t>
          </w:r>
          <w:r>
            <w:rPr>
              <w:b w:val="0"/>
            </w:rPr>
            <w:tab/>
          </w:r>
          <w:r>
            <w:rPr>
              <w:b w:val="0"/>
            </w:rPr>
            <w:fldChar w:fldCharType="begin"/>
          </w:r>
          <w:r>
            <w:rPr>
              <w:b w:val="0"/>
            </w:rPr>
            <w:instrText xml:space="preserve"> PAGEREF _Toc81238301 \h </w:instrText>
          </w:r>
          <w:r>
            <w:rPr>
              <w:b w:val="0"/>
            </w:rPr>
            <w:fldChar w:fldCharType="separate"/>
          </w:r>
          <w:r>
            <w:rPr>
              <w:b w:val="0"/>
            </w:rPr>
            <w:t>20</w:t>
          </w:r>
          <w:r>
            <w:rPr>
              <w:b w:val="0"/>
            </w:rPr>
            <w:fldChar w:fldCharType="end"/>
          </w:r>
          <w:r>
            <w:rPr>
              <w:rStyle w:val="16"/>
              <w:b w:val="0"/>
            </w:rPr>
            <w:fldChar w:fldCharType="end"/>
          </w:r>
        </w:p>
        <w:p>
          <w:pPr>
            <w:pStyle w:val="10"/>
            <w:keepNext w:val="0"/>
            <w:keepLines w:val="0"/>
            <w:pageBreakBefore w:val="0"/>
            <w:widowControl w:val="0"/>
            <w:tabs>
              <w:tab w:val="right" w:leader="dot" w:pos="8820"/>
              <w:tab w:val="clear" w:pos="8296"/>
            </w:tabs>
            <w:kinsoku/>
            <w:wordWrap/>
            <w:overflowPunct/>
            <w:topLinePunct w:val="0"/>
            <w:autoSpaceDE/>
            <w:autoSpaceDN/>
            <w:bidi w:val="0"/>
            <w:adjustRightInd/>
            <w:snapToGrid/>
            <w:spacing w:line="520" w:lineRule="exact"/>
            <w:ind w:firstLine="560" w:firstLineChars="200"/>
            <w:textAlignment w:val="auto"/>
            <w:rPr>
              <w:sz w:val="30"/>
              <w:szCs w:val="30"/>
            </w:rPr>
          </w:pPr>
          <w:r>
            <w:rPr>
              <w:rStyle w:val="16"/>
              <w:b w:val="0"/>
              <w:bCs w:val="0"/>
            </w:rPr>
            <w:fldChar w:fldCharType="begin"/>
          </w:r>
          <w:r>
            <w:rPr>
              <w:rStyle w:val="16"/>
              <w:b w:val="0"/>
              <w:bCs w:val="0"/>
            </w:rPr>
            <w:instrText xml:space="preserve"> </w:instrText>
          </w:r>
          <w:r>
            <w:rPr>
              <w:b w:val="0"/>
              <w:bCs w:val="0"/>
            </w:rPr>
            <w:instrText xml:space="preserve">HYPERLINK \l "_Toc81238302"</w:instrText>
          </w:r>
          <w:r>
            <w:rPr>
              <w:rStyle w:val="16"/>
              <w:b w:val="0"/>
              <w:bCs w:val="0"/>
            </w:rPr>
            <w:instrText xml:space="preserve"> </w:instrText>
          </w:r>
          <w:r>
            <w:rPr>
              <w:rStyle w:val="16"/>
              <w:b w:val="0"/>
              <w:bCs w:val="0"/>
            </w:rPr>
            <w:fldChar w:fldCharType="separate"/>
          </w:r>
          <w:r>
            <w:rPr>
              <w:rStyle w:val="16"/>
              <w:rFonts w:hint="eastAsia" w:ascii="楷体_GB2312" w:hAnsi="楷体_GB2312" w:eastAsia="楷体_GB2312" w:cs="楷体_GB2312"/>
              <w:b w:val="0"/>
              <w:bCs w:val="0"/>
            </w:rPr>
            <w:t>（五）加强人才保障</w:t>
          </w:r>
          <w:r>
            <w:rPr>
              <w:b w:val="0"/>
              <w:bCs w:val="0"/>
            </w:rPr>
            <w:tab/>
          </w:r>
          <w:r>
            <w:rPr>
              <w:b w:val="0"/>
              <w:bCs w:val="0"/>
            </w:rPr>
            <w:fldChar w:fldCharType="begin"/>
          </w:r>
          <w:r>
            <w:rPr>
              <w:b w:val="0"/>
              <w:bCs w:val="0"/>
            </w:rPr>
            <w:instrText xml:space="preserve"> PAGEREF _Toc81238302 \h </w:instrText>
          </w:r>
          <w:r>
            <w:rPr>
              <w:b w:val="0"/>
              <w:bCs w:val="0"/>
            </w:rPr>
            <w:fldChar w:fldCharType="separate"/>
          </w:r>
          <w:r>
            <w:rPr>
              <w:b w:val="0"/>
              <w:bCs w:val="0"/>
            </w:rPr>
            <w:t>21</w:t>
          </w:r>
          <w:r>
            <w:rPr>
              <w:b w:val="0"/>
              <w:bCs w:val="0"/>
            </w:rPr>
            <w:fldChar w:fldCharType="end"/>
          </w:r>
          <w:r>
            <w:rPr>
              <w:rStyle w:val="16"/>
              <w:b w:val="0"/>
              <w:bCs w:val="0"/>
            </w:rPr>
            <w:fldChar w:fldCharType="end"/>
          </w:r>
          <w:r>
            <w:rPr>
              <w:bCs w:val="0"/>
              <w:sz w:val="30"/>
              <w:szCs w:val="30"/>
              <w:lang w:val="zh-CN"/>
            </w:rPr>
            <w:fldChar w:fldCharType="end"/>
          </w:r>
        </w:p>
      </w:sdtContent>
    </w:sdt>
    <w:p>
      <w:pPr>
        <w:spacing w:before="50"/>
        <w:ind w:firstLine="600" w:firstLineChars="200"/>
        <w:rPr>
          <w:rFonts w:ascii="仿宋" w:hAnsi="仿宋" w:eastAsia="仿宋" w:cs="仿宋_GB2312"/>
          <w:sz w:val="30"/>
          <w:szCs w:val="30"/>
        </w:rPr>
        <w:sectPr>
          <w:footerReference r:id="rId4" w:type="default"/>
          <w:pgSz w:w="11906" w:h="16838"/>
          <w:pgMar w:top="1984" w:right="1531" w:bottom="1757" w:left="1531" w:header="851" w:footer="1361" w:gutter="0"/>
          <w:pgNumType w:fmt="decimal"/>
          <w:cols w:space="0" w:num="1"/>
          <w:rtlGutter w:val="0"/>
          <w:docGrid w:type="lines" w:linePitch="312" w:charSpace="0"/>
        </w:sectPr>
      </w:pPr>
      <w:bookmarkStart w:id="0" w:name="_Toc65853785"/>
      <w:bookmarkEnd w:id="0"/>
    </w:p>
    <w:p>
      <w:pPr>
        <w:pStyle w:val="2"/>
        <w:pageBreakBefore w:val="0"/>
        <w:kinsoku/>
        <w:wordWrap/>
        <w:overflowPunct/>
        <w:topLinePunct w:val="0"/>
        <w:autoSpaceDE/>
        <w:autoSpaceDN/>
        <w:bidi w:val="0"/>
        <w:adjustRightInd/>
        <w:snapToGrid/>
        <w:spacing w:line="596" w:lineRule="exact"/>
        <w:ind w:firstLine="640" w:firstLineChars="200"/>
        <w:textAlignment w:val="auto"/>
        <w:rPr>
          <w:rFonts w:eastAsia="仿宋_GB2312"/>
          <w:lang w:val="en-US"/>
        </w:rPr>
      </w:pPr>
      <w:r>
        <w:rPr>
          <w:rFonts w:hint="eastAsia" w:ascii="仿宋_GB2312" w:hAnsi="仿宋_GB2312" w:eastAsia="仿宋_GB2312" w:cs="仿宋_GB2312"/>
          <w:lang w:val="en-US"/>
        </w:rPr>
        <w:t>邮政业是国家重要的社会公用事业，是服务生产、促进消费、畅通循环的现代化先导性产业。邮政体系是国家战略性基</w:t>
      </w:r>
      <w:r>
        <w:rPr>
          <w:rFonts w:hint="eastAsia" w:ascii="仿宋_GB2312" w:hAnsi="仿宋_GB2312" w:eastAsia="仿宋_GB2312" w:cs="仿宋_GB2312"/>
          <w:spacing w:val="-6"/>
          <w:lang w:val="en-US"/>
        </w:rPr>
        <w:t>础设施和社会组织系统之一，为国脉所系、发展所需、民生所依。</w:t>
      </w:r>
    </w:p>
    <w:p>
      <w:pPr>
        <w:pStyle w:val="2"/>
        <w:pageBreakBefore w:val="0"/>
        <w:kinsoku/>
        <w:wordWrap/>
        <w:overflowPunct/>
        <w:topLinePunct w:val="0"/>
        <w:autoSpaceDE/>
        <w:autoSpaceDN/>
        <w:bidi w:val="0"/>
        <w:adjustRightInd/>
        <w:snapToGrid/>
        <w:spacing w:line="596" w:lineRule="exact"/>
        <w:textAlignment w:val="auto"/>
        <w:rPr>
          <w:rFonts w:ascii="仿宋_GB2312" w:hAnsi="仿宋_GB2312" w:eastAsia="仿宋_GB2312" w:cs="仿宋_GB2312"/>
        </w:rPr>
      </w:pPr>
      <w:r>
        <w:rPr>
          <w:rFonts w:ascii="仿宋_GB2312" w:hAnsi="仿宋_GB2312" w:eastAsia="仿宋_GB2312" w:cs="仿宋_GB2312"/>
          <w:lang w:val="en-US"/>
        </w:rPr>
        <w:t>为</w:t>
      </w:r>
      <w:r>
        <w:rPr>
          <w:rFonts w:hint="eastAsia" w:ascii="仿宋_GB2312" w:hAnsi="仿宋_GB2312" w:eastAsia="仿宋_GB2312" w:cs="仿宋_GB2312"/>
          <w:lang w:val="en-US"/>
        </w:rPr>
        <w:t>促进安徽邮政业持续健康有序发展，更好发挥邮政业基础性、战略性、先导性作用，推动普惠民生、提升流通效率、服务生产生活、促进创业创新和赋能经济高质量发展，根据《“十四五”邮政业发展规划》和《安徽省国民经济和社会发展第十四个五年规划和</w:t>
      </w:r>
      <w:r>
        <w:rPr>
          <w:rFonts w:ascii="仿宋_GB2312" w:hAnsi="仿宋_GB2312" w:eastAsia="仿宋_GB2312" w:cs="仿宋_GB2312"/>
          <w:lang w:val="en-US"/>
        </w:rPr>
        <w:t>2035年远景目标纲要》，制定《</w:t>
      </w:r>
      <w:r>
        <w:rPr>
          <w:rFonts w:hint="eastAsia" w:ascii="仿宋_GB2312" w:hAnsi="仿宋_GB2312" w:eastAsia="仿宋_GB2312" w:cs="仿宋_GB2312"/>
          <w:lang w:val="en-US" w:eastAsia="zh-CN"/>
        </w:rPr>
        <w:t>安徽省“十四五”邮政业发展规划</w:t>
      </w:r>
      <w:r>
        <w:rPr>
          <w:rFonts w:ascii="仿宋_GB2312" w:hAnsi="仿宋_GB2312" w:eastAsia="仿宋_GB2312" w:cs="仿宋_GB2312"/>
          <w:lang w:val="en-US"/>
        </w:rPr>
        <w:t>》，作为今后五年指导安徽省邮政</w:t>
      </w:r>
      <w:r>
        <w:rPr>
          <w:rFonts w:hint="eastAsia" w:ascii="仿宋_GB2312" w:hAnsi="仿宋_GB2312" w:eastAsia="仿宋_GB2312" w:cs="仿宋_GB2312"/>
          <w:lang w:val="en-US"/>
        </w:rPr>
        <w:t>业把握新发展理念，实现高质量发展的行动纲领。</w:t>
      </w:r>
    </w:p>
    <w:p>
      <w:pPr>
        <w:pStyle w:val="3"/>
        <w:pageBreakBefore w:val="0"/>
        <w:kinsoku/>
        <w:wordWrap/>
        <w:overflowPunct/>
        <w:topLinePunct w:val="0"/>
        <w:autoSpaceDE/>
        <w:autoSpaceDN/>
        <w:bidi w:val="0"/>
        <w:adjustRightInd/>
        <w:snapToGrid/>
        <w:spacing w:before="0" w:after="0" w:line="596" w:lineRule="exact"/>
        <w:ind w:firstLine="640" w:firstLineChars="200"/>
        <w:textAlignment w:val="auto"/>
        <w:rPr>
          <w:rFonts w:ascii="黑体" w:hAnsi="黑体" w:eastAsia="黑体"/>
          <w:b w:val="0"/>
          <w:bCs w:val="0"/>
          <w:sz w:val="32"/>
          <w:szCs w:val="32"/>
        </w:rPr>
      </w:pPr>
      <w:bookmarkStart w:id="1" w:name="_Toc81238277"/>
      <w:r>
        <w:rPr>
          <w:rFonts w:hint="eastAsia" w:ascii="黑体" w:hAnsi="黑体" w:eastAsia="黑体"/>
          <w:b w:val="0"/>
          <w:bCs w:val="0"/>
          <w:sz w:val="32"/>
          <w:szCs w:val="32"/>
        </w:rPr>
        <w:t>一、规划背景</w:t>
      </w:r>
      <w:bookmarkEnd w:id="1"/>
    </w:p>
    <w:p>
      <w:pPr>
        <w:pStyle w:val="18"/>
        <w:pageBreakBefore w:val="0"/>
        <w:kinsoku/>
        <w:wordWrap/>
        <w:overflowPunct/>
        <w:topLinePunct w:val="0"/>
        <w:autoSpaceDE/>
        <w:autoSpaceDN/>
        <w:bidi w:val="0"/>
        <w:adjustRightInd/>
        <w:snapToGrid/>
        <w:spacing w:beforeLines="0" w:afterLines="0" w:line="596" w:lineRule="exact"/>
        <w:ind w:firstLine="643"/>
        <w:textAlignment w:val="auto"/>
        <w:rPr>
          <w:rFonts w:ascii="楷体_GB2312" w:eastAsia="楷体_GB2312"/>
          <w:b w:val="0"/>
          <w:bCs/>
        </w:rPr>
      </w:pPr>
      <w:bookmarkStart w:id="2" w:name="_Toc43465303"/>
      <w:bookmarkStart w:id="3" w:name="_Toc81238278"/>
      <w:r>
        <w:rPr>
          <w:rFonts w:hint="eastAsia" w:ascii="楷体_GB2312" w:eastAsia="楷体_GB2312"/>
          <w:b w:val="0"/>
          <w:bCs/>
        </w:rPr>
        <w:t>（一）现状基础</w:t>
      </w:r>
      <w:bookmarkEnd w:id="2"/>
      <w:bookmarkEnd w:id="3"/>
    </w:p>
    <w:p>
      <w:pPr>
        <w:pageBreakBefore w:val="0"/>
        <w:kinsoku/>
        <w:wordWrap/>
        <w:overflowPunct/>
        <w:topLinePunct w:val="0"/>
        <w:autoSpaceDE/>
        <w:autoSpaceDN/>
        <w:bidi w:val="0"/>
        <w:adjustRightInd/>
        <w:snapToGrid/>
        <w:spacing w:line="59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“十三五”以来，安徽邮政业实现持续快速发展，在规模实力、基础网络、服务能力、科技创新、监管治理、绿色实践等方面实现了整体跃升。</w:t>
      </w:r>
    </w:p>
    <w:p>
      <w:pPr>
        <w:pageBreakBefore w:val="0"/>
        <w:kinsoku/>
        <w:wordWrap/>
        <w:overflowPunct/>
        <w:topLinePunct w:val="0"/>
        <w:autoSpaceDE/>
        <w:autoSpaceDN/>
        <w:bidi w:val="0"/>
        <w:adjustRightInd/>
        <w:snapToGrid/>
        <w:spacing w:line="596" w:lineRule="exact"/>
        <w:ind w:firstLine="643" w:firstLineChars="200"/>
        <w:textAlignment w:val="auto"/>
        <w:rPr>
          <w:rFonts w:ascii="仿宋" w:hAnsi="仿宋" w:eastAsia="仿宋" w:cs="仿宋"/>
          <w:sz w:val="32"/>
          <w:szCs w:val="32"/>
        </w:rPr>
      </w:pPr>
      <w:r>
        <w:rPr>
          <w:rFonts w:hint="eastAsia" w:ascii="仿宋_GB2312" w:hAnsi="仿宋" w:eastAsia="仿宋_GB2312" w:cs="仿宋"/>
          <w:b/>
          <w:bCs/>
          <w:sz w:val="32"/>
          <w:szCs w:val="32"/>
        </w:rPr>
        <w:t>规模实力显著提升。</w:t>
      </w:r>
      <w:r>
        <w:rPr>
          <w:rFonts w:hint="eastAsia" w:ascii="仿宋_GB2312" w:hAnsi="仿宋_GB2312" w:eastAsia="仿宋_GB2312" w:cs="仿宋_GB2312"/>
          <w:sz w:val="32"/>
          <w:szCs w:val="32"/>
        </w:rPr>
        <w:t>五年来，邮政行业业务收入由</w:t>
      </w:r>
      <w:r>
        <w:rPr>
          <w:rFonts w:ascii="仿宋_GB2312" w:hAnsi="仿宋_GB2312" w:eastAsia="仿宋_GB2312" w:cs="仿宋_GB2312"/>
          <w:sz w:val="32"/>
          <w:szCs w:val="32"/>
        </w:rPr>
        <w:t>92</w:t>
      </w:r>
      <w:r>
        <w:rPr>
          <w:rFonts w:hint="eastAsia" w:ascii="仿宋_GB2312" w:hAnsi="仿宋_GB2312" w:eastAsia="仿宋_GB2312" w:cs="仿宋_GB2312"/>
          <w:sz w:val="32"/>
          <w:szCs w:val="32"/>
        </w:rPr>
        <w:t>亿元跃升至</w:t>
      </w:r>
      <w:r>
        <w:rPr>
          <w:rFonts w:ascii="仿宋_GB2312" w:hAnsi="仿宋_GB2312" w:eastAsia="仿宋_GB2312" w:cs="仿宋_GB2312"/>
          <w:sz w:val="32"/>
          <w:szCs w:val="32"/>
        </w:rPr>
        <w:t>274</w:t>
      </w:r>
      <w:r>
        <w:rPr>
          <w:rFonts w:hint="eastAsia" w:ascii="仿宋_GB2312" w:hAnsi="仿宋_GB2312" w:eastAsia="仿宋_GB2312" w:cs="仿宋_GB2312"/>
          <w:sz w:val="32"/>
          <w:szCs w:val="32"/>
        </w:rPr>
        <w:t>亿元，年均增长</w:t>
      </w:r>
      <w:r>
        <w:rPr>
          <w:rFonts w:ascii="仿宋_GB2312" w:hAnsi="仿宋_GB2312" w:eastAsia="仿宋_GB2312" w:cs="仿宋_GB2312"/>
          <w:sz w:val="32"/>
          <w:szCs w:val="32"/>
        </w:rPr>
        <w:t>24%</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快递业务量从4亿件跃升至22</w:t>
      </w:r>
      <w:r>
        <w:rPr>
          <w:rFonts w:hint="eastAsia" w:ascii="仿宋_GB2312" w:hAnsi="仿宋_GB2312" w:eastAsia="仿宋_GB2312" w:cs="仿宋_GB2312"/>
          <w:sz w:val="32"/>
          <w:szCs w:val="32"/>
        </w:rPr>
        <w:t>亿件，年均增长</w:t>
      </w:r>
      <w:r>
        <w:rPr>
          <w:rFonts w:ascii="仿宋_GB2312" w:hAnsi="仿宋_GB2312" w:eastAsia="仿宋_GB2312" w:cs="仿宋_GB2312"/>
          <w:sz w:val="32"/>
          <w:szCs w:val="32"/>
        </w:rPr>
        <w:t>41%</w:t>
      </w:r>
      <w:r>
        <w:rPr>
          <w:rFonts w:hint="eastAsia" w:ascii="仿宋_GB2312" w:hAnsi="仿宋_GB2312" w:eastAsia="仿宋_GB2312" w:cs="仿宋_GB2312"/>
          <w:sz w:val="32"/>
          <w:szCs w:val="32"/>
        </w:rPr>
        <w:t>；年新增就业岗位超</w:t>
      </w:r>
      <w:r>
        <w:rPr>
          <w:rFonts w:ascii="仿宋_GB2312" w:hAnsi="仿宋_GB2312" w:eastAsia="仿宋_GB2312" w:cs="仿宋_GB2312"/>
          <w:sz w:val="32"/>
          <w:szCs w:val="32"/>
        </w:rPr>
        <w:t xml:space="preserve"> 8000</w:t>
      </w:r>
      <w:r>
        <w:rPr>
          <w:rFonts w:hint="eastAsia" w:ascii="仿宋_GB2312" w:hAnsi="仿宋_GB2312" w:eastAsia="仿宋_GB2312" w:cs="仿宋_GB2312"/>
          <w:sz w:val="32"/>
          <w:szCs w:val="32"/>
        </w:rPr>
        <w:t>个，行业在经济社会发展中的作用不断增强</w:t>
      </w:r>
      <w:r>
        <w:rPr>
          <w:rFonts w:ascii="仿宋_GB2312" w:hAnsi="仿宋_GB2312" w:eastAsia="仿宋_GB2312" w:cs="仿宋_GB2312"/>
          <w:sz w:val="32"/>
          <w:szCs w:val="32"/>
        </w:rPr>
        <w:t>。2020年快递支撑网络零售交易额突破 2500</w:t>
      </w:r>
      <w:r>
        <w:rPr>
          <w:rFonts w:hint="eastAsia" w:ascii="仿宋_GB2312" w:hAnsi="仿宋_GB2312" w:eastAsia="仿宋_GB2312" w:cs="仿宋_GB2312"/>
          <w:sz w:val="32"/>
          <w:szCs w:val="32"/>
        </w:rPr>
        <w:t>亿元，约占社会消费品零售总额的</w:t>
      </w:r>
      <w:r>
        <w:rPr>
          <w:rFonts w:ascii="仿宋_GB2312" w:hAnsi="仿宋_GB2312" w:eastAsia="仿宋_GB2312" w:cs="仿宋_GB2312"/>
          <w:sz w:val="32"/>
          <w:szCs w:val="32"/>
        </w:rPr>
        <w:t>14%</w:t>
      </w:r>
      <w:r>
        <w:rPr>
          <w:rFonts w:hint="eastAsia" w:ascii="仿宋_GB2312" w:hAnsi="仿宋_GB2312" w:eastAsia="仿宋_GB2312" w:cs="仿宋_GB2312"/>
          <w:sz w:val="32"/>
          <w:szCs w:val="32"/>
        </w:rPr>
        <w:t>。邮政</w:t>
      </w:r>
      <w:r>
        <w:rPr>
          <w:rFonts w:ascii="仿宋_GB2312" w:hAnsi="仿宋_GB2312" w:eastAsia="仿宋_GB2312" w:cs="仿宋_GB2312"/>
          <w:sz w:val="32"/>
          <w:szCs w:val="32"/>
        </w:rPr>
        <w:t>快递</w:t>
      </w:r>
      <w:r>
        <w:rPr>
          <w:rFonts w:hint="eastAsia" w:ascii="仿宋_GB2312" w:hAnsi="仿宋_GB2312" w:eastAsia="仿宋_GB2312" w:cs="仿宋_GB2312"/>
          <w:sz w:val="32"/>
          <w:szCs w:val="32"/>
        </w:rPr>
        <w:t>有力支撑了电子商务发展，满足了先进制造业和现代农业的寄递物流需求，真正实现从服务第三产业向一二三产业转变。</w:t>
      </w:r>
    </w:p>
    <w:p>
      <w:pPr>
        <w:pStyle w:val="2"/>
        <w:pageBreakBefore w:val="0"/>
        <w:kinsoku/>
        <w:wordWrap/>
        <w:overflowPunct/>
        <w:topLinePunct w:val="0"/>
        <w:autoSpaceDE/>
        <w:autoSpaceDN/>
        <w:bidi w:val="0"/>
        <w:adjustRightInd/>
        <w:snapToGrid/>
        <w:spacing w:line="596" w:lineRule="exact"/>
        <w:ind w:left="0" w:leftChars="0" w:firstLine="643" w:firstLineChars="200"/>
        <w:textAlignment w:val="auto"/>
        <w:rPr>
          <w:rFonts w:ascii="仿宋_GB2312" w:hAnsi="仿宋_GB2312" w:eastAsia="仿宋_GB2312" w:cs="仿宋_GB2312"/>
        </w:rPr>
      </w:pPr>
      <w:r>
        <w:rPr>
          <w:rFonts w:hint="eastAsia" w:ascii="仿宋_GB2312" w:hAnsi="仿宋" w:eastAsia="仿宋_GB2312" w:cs="仿宋_GB2312"/>
          <w:b/>
        </w:rPr>
        <w:t>基础</w:t>
      </w:r>
      <w:r>
        <w:rPr>
          <w:rFonts w:hint="eastAsia" w:ascii="仿宋_GB2312" w:hAnsi="仿宋" w:eastAsia="仿宋_GB2312" w:cs="仿宋"/>
          <w:b/>
        </w:rPr>
        <w:t>网络加快发展。</w:t>
      </w:r>
      <w:r>
        <w:rPr>
          <w:rFonts w:hint="eastAsia" w:ascii="仿宋_GB2312" w:hAnsi="仿宋_GB2312" w:eastAsia="仿宋_GB2312" w:cs="仿宋_GB2312"/>
          <w:shd w:val="clear" w:color="auto" w:fill="FFFFFF"/>
        </w:rPr>
        <w:t>构建起覆盖城乡、惠及全民的邮政快递服务网络体系</w:t>
      </w:r>
      <w:r>
        <w:rPr>
          <w:rFonts w:hint="eastAsia" w:ascii="仿宋_GB2312" w:hAnsi="仿宋_GB2312" w:eastAsia="仿宋_GB2312" w:cs="仿宋_GB2312"/>
        </w:rPr>
        <w:t>。全省快递园区总占地面积超过</w:t>
      </w:r>
      <w:r>
        <w:rPr>
          <w:rFonts w:ascii="仿宋_GB2312" w:hAnsi="仿宋_GB2312" w:eastAsia="仿宋_GB2312" w:cs="仿宋_GB2312"/>
        </w:rPr>
        <w:t>7300亩，</w:t>
      </w:r>
      <w:r>
        <w:rPr>
          <w:rFonts w:hint="eastAsia" w:ascii="仿宋_GB2312" w:hAnsi="仿宋_GB2312" w:eastAsia="仿宋_GB2312" w:cs="仿宋_GB2312"/>
        </w:rPr>
        <w:t>投资额约</w:t>
      </w:r>
      <w:r>
        <w:rPr>
          <w:rFonts w:ascii="仿宋_GB2312" w:hAnsi="仿宋_GB2312" w:eastAsia="仿宋_GB2312" w:cs="仿宋_GB2312"/>
        </w:rPr>
        <w:t>165亿元</w:t>
      </w:r>
      <w:r>
        <w:rPr>
          <w:rFonts w:hint="eastAsia" w:ascii="仿宋_GB2312" w:hAnsi="仿宋_GB2312" w:eastAsia="仿宋_GB2312" w:cs="仿宋_GB2312"/>
        </w:rPr>
        <w:t>。</w:t>
      </w:r>
      <w:r>
        <w:rPr>
          <w:rFonts w:hint="eastAsia" w:ascii="仿宋_GB2312" w:hAnsi="仿宋_GB2312" w:eastAsia="仿宋_GB2312" w:cs="仿宋_GB2312"/>
          <w:shd w:val="clear" w:color="auto" w:fill="FFFFFF"/>
        </w:rPr>
        <w:t>建制村全部实现直接通邮。</w:t>
      </w:r>
      <w:r>
        <w:rPr>
          <w:rFonts w:hint="eastAsia" w:ascii="仿宋_GB2312" w:hAnsi="仿宋_GB2312" w:eastAsia="仿宋_GB2312" w:cs="仿宋_GB2312"/>
        </w:rPr>
        <w:t>乡镇快递网点全覆盖，快递进村取得明显成效</w:t>
      </w:r>
      <w:r>
        <w:rPr>
          <w:rFonts w:ascii="仿宋_GB2312" w:hAnsi="仿宋_GB2312" w:eastAsia="仿宋_GB2312" w:cs="仿宋_GB2312"/>
          <w:shd w:val="clear" w:color="auto" w:fill="FFFFFF"/>
        </w:rPr>
        <w:t>。</w:t>
      </w:r>
      <w:r>
        <w:rPr>
          <w:rFonts w:hint="eastAsia" w:ascii="仿宋_GB2312" w:hAnsi="仿宋_GB2312" w:eastAsia="仿宋_GB2312" w:cs="仿宋_GB2312"/>
        </w:rPr>
        <w:t>合肥国际邮件互换局建成运营，国际化发展能力增强。</w:t>
      </w:r>
    </w:p>
    <w:p>
      <w:pPr>
        <w:pageBreakBefore w:val="0"/>
        <w:kinsoku/>
        <w:wordWrap/>
        <w:overflowPunct/>
        <w:topLinePunct w:val="0"/>
        <w:autoSpaceDE/>
        <w:autoSpaceDN/>
        <w:bidi w:val="0"/>
        <w:adjustRightInd/>
        <w:snapToGrid/>
        <w:spacing w:line="596" w:lineRule="exact"/>
        <w:ind w:firstLine="643" w:firstLineChars="200"/>
        <w:textAlignment w:val="auto"/>
        <w:rPr>
          <w:rFonts w:ascii="仿宋_GB2312" w:hAnsi="仿宋_GB2312" w:eastAsia="仿宋_GB2312" w:cs="仿宋_GB2312"/>
          <w:sz w:val="32"/>
          <w:szCs w:val="32"/>
          <w:highlight w:val="none"/>
        </w:rPr>
      </w:pPr>
      <w:r>
        <w:rPr>
          <w:rFonts w:hint="eastAsia" w:ascii="仿宋_GB2312" w:hAnsi="仿宋" w:eastAsia="仿宋_GB2312" w:cs="仿宋_GB2312"/>
          <w:b/>
          <w:sz w:val="32"/>
          <w:szCs w:val="32"/>
        </w:rPr>
        <w:t>服务能力跨越提升。</w:t>
      </w:r>
      <w:r>
        <w:rPr>
          <w:rFonts w:hint="eastAsia" w:ascii="仿宋_GB2312" w:hAnsi="仿宋_GB2312" w:eastAsia="仿宋_GB2312" w:cs="仿宋_GB2312"/>
          <w:sz w:val="32"/>
          <w:szCs w:val="32"/>
        </w:rPr>
        <w:t>全省拥有各类邮政快递营业网点1.3万处，智能快件箱增至 1.2万组，末端收投模式更加多元便捷</w:t>
      </w:r>
      <w:r>
        <w:rPr>
          <w:rFonts w:ascii="仿宋_GB2312" w:hAnsi="仿宋_GB2312" w:eastAsia="仿宋_GB2312" w:cs="仿宋_GB2312"/>
          <w:sz w:val="32"/>
          <w:szCs w:val="32"/>
        </w:rPr>
        <w:t>。寄递服务产品体系不断丰富，快运重货、冷链快递、</w:t>
      </w:r>
      <w:r>
        <w:rPr>
          <w:rFonts w:hint="eastAsia" w:ascii="仿宋_GB2312" w:hAnsi="仿宋_GB2312" w:eastAsia="仿宋_GB2312" w:cs="仿宋_GB2312"/>
          <w:sz w:val="32"/>
          <w:szCs w:val="32"/>
        </w:rPr>
        <w:t>同城即时递送、医药寄递、智能递送、供应链业务等新业态新产品迅猛发展。快递服务质量稳步提升，基本实现省内一日达、国内两日达</w:t>
      </w:r>
      <w:r>
        <w:rPr>
          <w:rFonts w:ascii="仿宋_GB2312" w:hAnsi="仿宋_GB2312" w:eastAsia="仿宋_GB2312" w:cs="仿宋_GB2312"/>
          <w:sz w:val="32"/>
          <w:szCs w:val="32"/>
        </w:rPr>
        <w:t>。消费者对邮政管理部门申诉处理满意率达</w:t>
      </w:r>
      <w:r>
        <w:rPr>
          <w:rFonts w:ascii="仿宋_GB2312" w:hAnsi="仿宋_GB2312" w:eastAsia="仿宋_GB2312" w:cs="仿宋_GB2312"/>
          <w:sz w:val="32"/>
          <w:szCs w:val="32"/>
          <w:highlight w:val="none"/>
        </w:rPr>
        <w:t>到99％，对企业有效申诉处理满意率为90.3％。</w:t>
      </w:r>
    </w:p>
    <w:p>
      <w:pPr>
        <w:pageBreakBefore w:val="0"/>
        <w:kinsoku/>
        <w:wordWrap/>
        <w:overflowPunct/>
        <w:topLinePunct w:val="0"/>
        <w:autoSpaceDE/>
        <w:autoSpaceDN/>
        <w:bidi w:val="0"/>
        <w:adjustRightInd/>
        <w:snapToGrid/>
        <w:spacing w:line="596" w:lineRule="exact"/>
        <w:ind w:firstLine="643" w:firstLineChars="200"/>
        <w:textAlignment w:val="auto"/>
        <w:rPr>
          <w:rFonts w:ascii="仿宋" w:hAnsi="仿宋" w:eastAsia="仿宋" w:cs="仿宋"/>
          <w:sz w:val="32"/>
          <w:szCs w:val="32"/>
        </w:rPr>
      </w:pPr>
      <w:r>
        <w:rPr>
          <w:rFonts w:hint="eastAsia" w:ascii="仿宋_GB2312" w:hAnsi="仿宋" w:eastAsia="仿宋_GB2312" w:cs="仿宋_GB2312"/>
          <w:b/>
          <w:sz w:val="32"/>
          <w:szCs w:val="32"/>
        </w:rPr>
        <w:t>科技创新全面增强。</w:t>
      </w:r>
      <w:r>
        <w:rPr>
          <w:rFonts w:hint="eastAsia" w:ascii="仿宋_GB2312" w:hAnsi="仿宋_GB2312" w:eastAsia="仿宋_GB2312" w:cs="仿宋_GB2312"/>
          <w:sz w:val="32"/>
          <w:szCs w:val="32"/>
        </w:rPr>
        <w:t>自动化作业能力显著提升，全自动分拣处理中心达31个，省内主要分拨中心全部实现自动化分拣。智能仓储、智能分拣、智能终端、智能客服、</w:t>
      </w:r>
      <w:r>
        <w:rPr>
          <w:rFonts w:hint="eastAsia" w:ascii="仿宋_GB2312" w:hAnsi="仿宋_GB2312" w:eastAsia="仿宋_GB2312" w:cs="仿宋_GB2312"/>
          <w:sz w:val="32"/>
          <w:szCs w:val="32"/>
          <w:shd w:val="clear" w:color="auto" w:fill="FFFFFF"/>
          <w:lang w:val="zh-CN"/>
        </w:rPr>
        <w:t>智慧邮筒、人脸识别</w:t>
      </w:r>
      <w:r>
        <w:rPr>
          <w:rFonts w:hint="eastAsia" w:ascii="仿宋_GB2312" w:hAnsi="仿宋_GB2312" w:eastAsia="仿宋_GB2312" w:cs="仿宋_GB2312"/>
          <w:sz w:val="32"/>
          <w:szCs w:val="32"/>
        </w:rPr>
        <w:t>等全面推开，仓配一体趋势明显。数字化管理效能不断增强，寄递路由动态优化，流量流向精准预测。电子运单、</w:t>
      </w:r>
      <w:r>
        <w:rPr>
          <w:rFonts w:ascii="仿宋_GB2312" w:hAnsi="仿宋_GB2312" w:eastAsia="仿宋_GB2312" w:cs="仿宋_GB2312"/>
          <w:sz w:val="32"/>
          <w:szCs w:val="32"/>
        </w:rPr>
        <w:t>隐形面单推广迅速，信息保护有效增强。</w:t>
      </w:r>
      <w:r>
        <w:rPr>
          <w:rFonts w:hint="eastAsia" w:ascii="仿宋_GB2312" w:hAnsi="仿宋_GB2312" w:eastAsia="仿宋_GB2312" w:cs="仿宋_GB2312"/>
          <w:sz w:val="32"/>
          <w:szCs w:val="32"/>
        </w:rPr>
        <w:t>南陵全国快递科技创新试验基地建设成效显著。</w:t>
      </w:r>
    </w:p>
    <w:p>
      <w:pPr>
        <w:pageBreakBefore w:val="0"/>
        <w:kinsoku/>
        <w:wordWrap/>
        <w:overflowPunct/>
        <w:topLinePunct w:val="0"/>
        <w:autoSpaceDE/>
        <w:autoSpaceDN/>
        <w:bidi w:val="0"/>
        <w:adjustRightInd/>
        <w:snapToGrid/>
        <w:spacing w:line="596" w:lineRule="exact"/>
        <w:ind w:firstLine="643" w:firstLineChars="200"/>
        <w:textAlignment w:val="auto"/>
        <w:rPr>
          <w:rFonts w:ascii="仿宋_GB2312" w:hAnsi="仿宋_GB2312" w:eastAsia="仿宋_GB2312" w:cs="仿宋_GB2312"/>
          <w:sz w:val="32"/>
          <w:szCs w:val="32"/>
        </w:rPr>
      </w:pPr>
      <w:r>
        <w:rPr>
          <w:rFonts w:hint="eastAsia" w:ascii="仿宋_GB2312" w:hAnsi="仿宋" w:eastAsia="仿宋_GB2312" w:cs="仿宋"/>
          <w:b/>
          <w:sz w:val="32"/>
          <w:szCs w:val="32"/>
        </w:rPr>
        <w:t>监管治理不断完善。</w:t>
      </w:r>
      <w:r>
        <w:rPr>
          <w:rFonts w:hint="eastAsia" w:ascii="仿宋_GB2312" w:hAnsi="仿宋_GB2312" w:eastAsia="仿宋_GB2312" w:cs="仿宋_GB2312"/>
          <w:sz w:val="32"/>
          <w:szCs w:val="32"/>
        </w:rPr>
        <w:t>行业监管能力不断提升。省、市两级邮政业安全中心建设实现全覆盖，建成</w:t>
      </w:r>
      <w:r>
        <w:rPr>
          <w:rFonts w:ascii="仿宋_GB2312" w:hAnsi="仿宋_GB2312" w:eastAsia="仿宋_GB2312" w:cs="仿宋_GB2312"/>
          <w:sz w:val="32"/>
          <w:szCs w:val="32"/>
        </w:rPr>
        <w:t>28</w:t>
      </w:r>
      <w:r>
        <w:rPr>
          <w:rFonts w:hint="eastAsia" w:ascii="仿宋_GB2312" w:hAnsi="仿宋_GB2312" w:eastAsia="仿宋_GB2312" w:cs="仿宋_GB2312"/>
          <w:sz w:val="32"/>
          <w:szCs w:val="32"/>
        </w:rPr>
        <w:t>个县级机构，监管队伍进一步充实。各级邮件快件寄递渠道安全管理领导小组协调机制作用充分发挥。应急处置能力显著增强，各快递企业安徽区域总部组建应急救援队伍。“三项制度”执行效果持续强化，</w:t>
      </w:r>
      <w:r>
        <w:rPr>
          <w:rFonts w:ascii="仿宋_GB2312" w:hAnsi="仿宋_GB2312" w:eastAsia="仿宋_GB2312" w:cs="仿宋_GB2312"/>
          <w:sz w:val="32"/>
          <w:szCs w:val="32"/>
        </w:rPr>
        <w:t>安检机配备640</w:t>
      </w:r>
      <w:r>
        <w:rPr>
          <w:rFonts w:hint="eastAsia" w:ascii="仿宋_GB2312" w:hAnsi="仿宋_GB2312" w:eastAsia="仿宋_GB2312" w:cs="仿宋_GB2312"/>
          <w:sz w:val="32"/>
          <w:szCs w:val="32"/>
        </w:rPr>
        <w:t>台，基本实现实名收寄信息化全覆盖目标。许可流程不断优化，审批时间大幅缩短。</w:t>
      </w:r>
    </w:p>
    <w:p>
      <w:pPr>
        <w:pageBreakBefore w:val="0"/>
        <w:kinsoku/>
        <w:wordWrap/>
        <w:overflowPunct/>
        <w:topLinePunct w:val="0"/>
        <w:autoSpaceDE/>
        <w:autoSpaceDN/>
        <w:bidi w:val="0"/>
        <w:adjustRightInd/>
        <w:snapToGrid/>
        <w:spacing w:line="596" w:lineRule="exact"/>
        <w:ind w:firstLine="643" w:firstLineChars="200"/>
        <w:textAlignment w:val="auto"/>
      </w:pPr>
      <w:r>
        <w:rPr>
          <w:rFonts w:hint="eastAsia" w:ascii="仿宋_GB2312" w:hAnsi="仿宋" w:eastAsia="仿宋_GB2312" w:cs="仿宋_GB2312"/>
          <w:b/>
          <w:bCs/>
          <w:sz w:val="32"/>
          <w:szCs w:val="32"/>
        </w:rPr>
        <w:t>绿色实践不断丰富。</w:t>
      </w:r>
      <w:r>
        <w:rPr>
          <w:rFonts w:hint="eastAsia" w:ascii="仿宋_GB2312" w:hAnsi="仿宋_GB2312" w:eastAsia="仿宋_GB2312" w:cs="仿宋_GB2312"/>
          <w:sz w:val="32"/>
          <w:szCs w:val="32"/>
        </w:rPr>
        <w:t>绿色包装治理成效凸显，电子运单普及率达</w:t>
      </w:r>
      <w:r>
        <w:rPr>
          <w:rFonts w:ascii="仿宋_GB2312" w:hAnsi="仿宋_GB2312" w:eastAsia="仿宋_GB2312" w:cs="仿宋_GB2312"/>
          <w:sz w:val="32"/>
          <w:szCs w:val="32"/>
        </w:rPr>
        <w:t>100%，电商快件非二次包装率达到95%以上，循</w:t>
      </w:r>
      <w:r>
        <w:rPr>
          <w:rFonts w:hint="eastAsia" w:ascii="仿宋_GB2312" w:hAnsi="仿宋_GB2312" w:eastAsia="仿宋_GB2312" w:cs="仿宋_GB2312"/>
          <w:sz w:val="32"/>
          <w:szCs w:val="32"/>
        </w:rPr>
        <w:t>环中转袋使用率</w:t>
      </w:r>
      <w:r>
        <w:rPr>
          <w:rFonts w:ascii="仿宋_GB2312" w:hAnsi="仿宋_GB2312" w:eastAsia="仿宋_GB2312" w:cs="仿宋_GB2312"/>
          <w:sz w:val="32"/>
          <w:szCs w:val="32"/>
        </w:rPr>
        <w:t>达96%</w:t>
      </w:r>
      <w:r>
        <w:rPr>
          <w:rFonts w:hint="eastAsia" w:ascii="仿宋_GB2312" w:hAnsi="仿宋_GB2312" w:eastAsia="仿宋_GB2312" w:cs="仿宋_GB2312"/>
          <w:sz w:val="32"/>
          <w:szCs w:val="32"/>
        </w:rPr>
        <w:t>，“瘦身胶带”封装比例超过</w:t>
      </w:r>
      <w:r>
        <w:rPr>
          <w:rFonts w:ascii="仿宋_GB2312" w:hAnsi="仿宋_GB2312" w:eastAsia="仿宋_GB2312" w:cs="仿宋_GB2312"/>
          <w:sz w:val="32"/>
          <w:szCs w:val="32"/>
        </w:rPr>
        <w:t>95%，设置包装废弃物回收装置的邮政快递网点</w:t>
      </w:r>
      <w:r>
        <w:rPr>
          <w:rFonts w:hint="eastAsia" w:ascii="仿宋_GB2312" w:hAnsi="仿宋_GB2312" w:eastAsia="仿宋_GB2312" w:cs="仿宋_GB2312"/>
          <w:sz w:val="32"/>
          <w:szCs w:val="32"/>
        </w:rPr>
        <w:t>超</w:t>
      </w:r>
      <w:r>
        <w:rPr>
          <w:rFonts w:ascii="仿宋_GB2312" w:hAnsi="仿宋_GB2312" w:eastAsia="仿宋_GB2312" w:cs="仿宋_GB2312"/>
          <w:sz w:val="32"/>
          <w:szCs w:val="32"/>
        </w:rPr>
        <w:t>5000</w:t>
      </w:r>
      <w:r>
        <w:rPr>
          <w:rFonts w:hint="eastAsia" w:ascii="仿宋_GB2312" w:hAnsi="仿宋_GB2312" w:eastAsia="仿宋_GB2312" w:cs="仿宋_GB2312"/>
          <w:sz w:val="32"/>
          <w:szCs w:val="32"/>
        </w:rPr>
        <w:t>个，使用新能源或者清洁能源车辆</w:t>
      </w:r>
      <w:r>
        <w:rPr>
          <w:rFonts w:ascii="仿宋_GB2312" w:hAnsi="仿宋_GB2312" w:eastAsia="仿宋_GB2312" w:cs="仿宋_GB2312"/>
          <w:sz w:val="32"/>
          <w:szCs w:val="32"/>
        </w:rPr>
        <w:t>930辆。邮件快件绿色包装标准化、减量化和可循环治理成效显著。</w:t>
      </w:r>
    </w:p>
    <w:p>
      <w:pPr>
        <w:pageBreakBefore w:val="0"/>
        <w:kinsoku/>
        <w:wordWrap/>
        <w:overflowPunct/>
        <w:topLinePunct w:val="0"/>
        <w:autoSpaceDE/>
        <w:autoSpaceDN/>
        <w:bidi w:val="0"/>
        <w:adjustRightInd/>
        <w:snapToGrid/>
        <w:spacing w:line="59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“十三五”时期，</w:t>
      </w:r>
      <w:r>
        <w:rPr>
          <w:rFonts w:hint="eastAsia" w:ascii="仿宋_GB2312" w:hAnsi="仿宋_GB2312" w:eastAsia="仿宋_GB2312" w:cs="仿宋_GB2312"/>
          <w:sz w:val="32"/>
          <w:szCs w:val="32"/>
          <w:lang w:eastAsia="zh-CN"/>
        </w:rPr>
        <w:t>安徽</w:t>
      </w:r>
      <w:r>
        <w:rPr>
          <w:rFonts w:hint="eastAsia" w:ascii="仿宋_GB2312" w:hAnsi="仿宋_GB2312" w:eastAsia="仿宋_GB2312" w:cs="仿宋_GB2312"/>
          <w:sz w:val="32"/>
          <w:szCs w:val="32"/>
        </w:rPr>
        <w:t>邮政业取得了长足发展，成绩斐然。但仍存在国内市场和国际市场不平衡、服务消费和服务生产不平衡、速度规模和质量效益不平衡、行业发展和治理体系能力不平衡等短板弱项。一是受制于国际通关能力不足，国际邮件快件业务发力受阻。二是交通基础设施和运力资源综合利用不足，铁路、航空运能尚未得到充分利用。三是对制造业嵌入不足，对农业支撑不深。四是同质化无序竞争加剧，末端稳定性有待加强，仍需进一步探索共建共享。五是企业现代化管理仍需提升，人才队伍建设有待加强，行业安全监管、综合治理的能力有待提高。</w:t>
      </w:r>
    </w:p>
    <w:p>
      <w:pPr>
        <w:pStyle w:val="18"/>
        <w:pageBreakBefore w:val="0"/>
        <w:kinsoku/>
        <w:wordWrap/>
        <w:overflowPunct/>
        <w:topLinePunct w:val="0"/>
        <w:autoSpaceDE/>
        <w:autoSpaceDN/>
        <w:bidi w:val="0"/>
        <w:adjustRightInd/>
        <w:snapToGrid/>
        <w:spacing w:beforeLines="0" w:afterLines="0" w:line="596" w:lineRule="exact"/>
        <w:ind w:firstLine="643"/>
        <w:textAlignment w:val="auto"/>
        <w:rPr>
          <w:rFonts w:ascii="楷体_GB2312" w:eastAsia="楷体_GB2312"/>
          <w:b w:val="0"/>
          <w:bCs/>
        </w:rPr>
      </w:pPr>
      <w:bookmarkStart w:id="4" w:name="_Toc81238279"/>
      <w:bookmarkStart w:id="5" w:name="_Toc43465304"/>
      <w:r>
        <w:rPr>
          <w:rFonts w:hint="eastAsia" w:ascii="楷体_GB2312" w:eastAsia="楷体_GB2312"/>
          <w:b w:val="0"/>
          <w:bCs/>
        </w:rPr>
        <w:t>（二）发展形势</w:t>
      </w:r>
      <w:bookmarkEnd w:id="4"/>
      <w:bookmarkEnd w:id="5"/>
    </w:p>
    <w:p>
      <w:pPr>
        <w:pageBreakBefore w:val="0"/>
        <w:kinsoku/>
        <w:wordWrap/>
        <w:overflowPunct/>
        <w:topLinePunct w:val="0"/>
        <w:autoSpaceDE/>
        <w:autoSpaceDN/>
        <w:bidi w:val="0"/>
        <w:adjustRightInd/>
        <w:snapToGrid/>
        <w:spacing w:line="596" w:lineRule="exact"/>
        <w:ind w:firstLine="640" w:firstLineChars="200"/>
        <w:textAlignment w:val="auto"/>
        <w:rPr>
          <w:rStyle w:val="19"/>
          <w:rFonts w:ascii="仿宋_GB2312" w:hAnsi="楷体" w:eastAsia="仿宋_GB2312" w:cs="宋体"/>
          <w:b/>
          <w:bCs/>
          <w:kern w:val="0"/>
          <w:sz w:val="32"/>
          <w:szCs w:val="32"/>
        </w:rPr>
      </w:pPr>
      <w:r>
        <w:rPr>
          <w:rFonts w:hint="eastAsia" w:ascii="仿宋_GB2312" w:hAnsi="仿宋_GB2312" w:eastAsia="仿宋_GB2312" w:cs="仿宋_GB2312"/>
          <w:sz w:val="32"/>
          <w:szCs w:val="32"/>
        </w:rPr>
        <w:t>安徽省邮政业发展趋势长期向好，在“十四五”时期将进入加速成长期，加快向资本和技术密集深度转型，行业的基础性战略性先导性作用将更加凸显。</w:t>
      </w:r>
    </w:p>
    <w:p>
      <w:pPr>
        <w:pStyle w:val="11"/>
        <w:pageBreakBefore w:val="0"/>
        <w:kinsoku/>
        <w:wordWrap/>
        <w:overflowPunct/>
        <w:topLinePunct w:val="0"/>
        <w:autoSpaceDE/>
        <w:autoSpaceDN/>
        <w:bidi w:val="0"/>
        <w:adjustRightInd/>
        <w:snapToGrid/>
        <w:spacing w:before="0" w:beforeAutospacing="0" w:after="0" w:afterAutospacing="0" w:line="596" w:lineRule="exact"/>
        <w:ind w:firstLine="643" w:firstLineChars="200"/>
        <w:jc w:val="both"/>
        <w:textAlignment w:val="auto"/>
        <w:rPr>
          <w:rFonts w:hint="eastAsia" w:ascii="仿宋_GB2312" w:hAnsi="仿宋_GB2312" w:eastAsia="仿宋_GB2312" w:cs="仿宋_GB2312"/>
          <w:kern w:val="2"/>
          <w:sz w:val="32"/>
          <w:szCs w:val="32"/>
        </w:rPr>
      </w:pPr>
      <w:r>
        <w:rPr>
          <w:rStyle w:val="19"/>
          <w:rFonts w:hint="eastAsia" w:ascii="仿宋_GB2312" w:hAnsi="Times New Roman" w:eastAsia="仿宋_GB2312"/>
          <w:b/>
          <w:bCs/>
          <w:sz w:val="32"/>
          <w:szCs w:val="32"/>
        </w:rPr>
        <w:t>国家重大战略为安徽邮政业发展带来新机遇。</w:t>
      </w:r>
      <w:r>
        <w:rPr>
          <w:rStyle w:val="19"/>
          <w:rFonts w:hint="eastAsia" w:ascii="仿宋_GB2312" w:hAnsi="Times New Roman" w:eastAsia="仿宋_GB2312"/>
          <w:b w:val="0"/>
          <w:bCs w:val="0"/>
          <w:sz w:val="32"/>
          <w:szCs w:val="32"/>
          <w:lang w:eastAsia="zh-CN"/>
        </w:rPr>
        <w:t>“</w:t>
      </w:r>
      <w:r>
        <w:rPr>
          <w:rFonts w:hint="eastAsia" w:ascii="仿宋_GB2312" w:hAnsi="仿宋_GB2312" w:eastAsia="仿宋_GB2312" w:cs="仿宋_GB2312"/>
          <w:kern w:val="2"/>
          <w:sz w:val="32"/>
          <w:szCs w:val="32"/>
        </w:rPr>
        <w:t>一带一路</w:t>
      </w:r>
      <w:r>
        <w:rPr>
          <w:rStyle w:val="19"/>
          <w:rFonts w:hint="eastAsia" w:ascii="仿宋_GB2312" w:hAnsi="Times New Roman" w:eastAsia="仿宋_GB2312"/>
          <w:b w:val="0"/>
          <w:bCs w:val="0"/>
          <w:sz w:val="32"/>
          <w:szCs w:val="32"/>
          <w:lang w:eastAsia="zh-CN"/>
        </w:rPr>
        <w:t>”</w:t>
      </w:r>
      <w:r>
        <w:rPr>
          <w:rFonts w:hint="eastAsia" w:ascii="仿宋_GB2312" w:hAnsi="仿宋_GB2312" w:eastAsia="仿宋_GB2312" w:cs="仿宋_GB2312"/>
          <w:kern w:val="2"/>
          <w:sz w:val="32"/>
          <w:szCs w:val="32"/>
        </w:rPr>
        <w:t>、长江经济带、长三角一体化发展、</w:t>
      </w:r>
      <w:r>
        <w:rPr>
          <w:rFonts w:ascii="仿宋_GB2312" w:hAnsi="仿宋_GB2312" w:eastAsia="仿宋_GB2312" w:cs="仿宋_GB2312"/>
          <w:kern w:val="2"/>
          <w:sz w:val="32"/>
          <w:szCs w:val="32"/>
        </w:rPr>
        <w:t>中部地区高质量发展</w:t>
      </w:r>
      <w:r>
        <w:rPr>
          <w:rFonts w:hint="eastAsia" w:ascii="仿宋_GB2312" w:hAnsi="仿宋_GB2312" w:eastAsia="仿宋_GB2312" w:cs="仿宋_GB2312"/>
          <w:kern w:val="2"/>
          <w:sz w:val="32"/>
          <w:szCs w:val="32"/>
        </w:rPr>
        <w:t>等国家战略</w:t>
      </w:r>
      <w:r>
        <w:rPr>
          <w:rFonts w:hint="eastAsia" w:ascii="仿宋_GB2312" w:hAnsi="仿宋_GB2312" w:eastAsia="仿宋_GB2312" w:cs="仿宋_GB2312"/>
          <w:kern w:val="2"/>
          <w:sz w:val="32"/>
          <w:szCs w:val="32"/>
          <w:lang w:val="en-US" w:eastAsia="zh-CN"/>
        </w:rPr>
        <w:t>叠加效应在安徽加速释放</w:t>
      </w:r>
      <w:r>
        <w:rPr>
          <w:rFonts w:ascii="仿宋_GB2312" w:hAnsi="仿宋_GB2312" w:eastAsia="仿宋_GB2312" w:cs="仿宋_GB2312"/>
          <w:kern w:val="2"/>
          <w:sz w:val="32"/>
          <w:szCs w:val="32"/>
        </w:rPr>
        <w:t>，</w:t>
      </w:r>
      <w:r>
        <w:rPr>
          <w:rFonts w:hint="eastAsia" w:ascii="仿宋_GB2312" w:hAnsi="仿宋_GB2312" w:eastAsia="仿宋_GB2312" w:cs="仿宋_GB2312"/>
          <w:kern w:val="2"/>
          <w:sz w:val="32"/>
          <w:szCs w:val="32"/>
        </w:rPr>
        <w:t>政策、资源、项目、投资加速集聚</w:t>
      </w:r>
      <w:r>
        <w:rPr>
          <w:rFonts w:hint="eastAsia" w:ascii="仿宋_GB2312" w:hAnsi="仿宋_GB2312" w:eastAsia="仿宋_GB2312" w:cs="仿宋_GB2312"/>
          <w:kern w:val="2"/>
          <w:sz w:val="32"/>
          <w:szCs w:val="32"/>
          <w:lang w:eastAsia="zh-CN"/>
        </w:rPr>
        <w:t>，</w:t>
      </w:r>
      <w:r>
        <w:rPr>
          <w:rFonts w:hint="eastAsia" w:ascii="仿宋_GB2312" w:hAnsi="仿宋_GB2312" w:eastAsia="仿宋_GB2312" w:cs="仿宋_GB2312"/>
          <w:kern w:val="2"/>
          <w:sz w:val="32"/>
          <w:szCs w:val="32"/>
          <w:lang w:val="en-US" w:eastAsia="zh-CN"/>
        </w:rPr>
        <w:t>推动了产业</w:t>
      </w:r>
      <w:r>
        <w:rPr>
          <w:rFonts w:hint="eastAsia" w:ascii="仿宋_GB2312" w:hAnsi="仿宋_GB2312" w:eastAsia="仿宋_GB2312" w:cs="仿宋_GB2312"/>
          <w:kern w:val="2"/>
          <w:sz w:val="32"/>
          <w:szCs w:val="32"/>
        </w:rPr>
        <w:t>转移</w:t>
      </w:r>
      <w:r>
        <w:rPr>
          <w:rFonts w:hint="eastAsia" w:ascii="仿宋_GB2312" w:hAnsi="仿宋_GB2312" w:eastAsia="仿宋_GB2312" w:cs="仿宋_GB2312"/>
          <w:kern w:val="2"/>
          <w:sz w:val="32"/>
          <w:szCs w:val="32"/>
          <w:lang w:val="en-US" w:eastAsia="zh-CN"/>
        </w:rPr>
        <w:t>和</w:t>
      </w:r>
      <w:r>
        <w:rPr>
          <w:rFonts w:hint="eastAsia" w:ascii="仿宋_GB2312" w:hAnsi="仿宋_GB2312" w:eastAsia="仿宋_GB2312" w:cs="仿宋_GB2312"/>
          <w:kern w:val="2"/>
          <w:sz w:val="32"/>
          <w:szCs w:val="32"/>
        </w:rPr>
        <w:t>新基建建设，</w:t>
      </w:r>
      <w:r>
        <w:rPr>
          <w:rFonts w:hint="eastAsia" w:ascii="仿宋_GB2312" w:hAnsi="仿宋_GB2312" w:eastAsia="仿宋_GB2312" w:cs="仿宋_GB2312"/>
          <w:kern w:val="2"/>
          <w:sz w:val="32"/>
          <w:szCs w:val="32"/>
          <w:lang w:val="en-US" w:eastAsia="zh-CN"/>
        </w:rPr>
        <w:t>为安徽发展带来了前所未有的战略机遇，</w:t>
      </w:r>
      <w:r>
        <w:rPr>
          <w:rFonts w:hint="eastAsia" w:ascii="仿宋_GB2312" w:hAnsi="仿宋_GB2312" w:eastAsia="仿宋_GB2312" w:cs="仿宋_GB2312"/>
          <w:kern w:val="2"/>
          <w:sz w:val="32"/>
          <w:szCs w:val="32"/>
        </w:rPr>
        <w:t>进一步</w:t>
      </w:r>
      <w:r>
        <w:rPr>
          <w:rFonts w:hint="eastAsia" w:ascii="仿宋_GB2312" w:hAnsi="仿宋_GB2312" w:eastAsia="仿宋_GB2312" w:cs="仿宋_GB2312"/>
          <w:kern w:val="2"/>
          <w:sz w:val="32"/>
          <w:szCs w:val="32"/>
          <w:lang w:val="en-US" w:eastAsia="zh-CN"/>
        </w:rPr>
        <w:t>加快了</w:t>
      </w:r>
      <w:r>
        <w:rPr>
          <w:rFonts w:hint="eastAsia" w:ascii="仿宋_GB2312" w:hAnsi="仿宋_GB2312" w:eastAsia="仿宋_GB2312" w:cs="仿宋_GB2312"/>
          <w:kern w:val="2"/>
          <w:sz w:val="32"/>
          <w:szCs w:val="32"/>
        </w:rPr>
        <w:t>产业转型升级。</w:t>
      </w:r>
    </w:p>
    <w:p>
      <w:pPr>
        <w:pageBreakBefore w:val="0"/>
        <w:kinsoku/>
        <w:wordWrap/>
        <w:overflowPunct/>
        <w:topLinePunct w:val="0"/>
        <w:autoSpaceDE/>
        <w:autoSpaceDN/>
        <w:bidi w:val="0"/>
        <w:adjustRightInd/>
        <w:snapToGrid/>
        <w:spacing w:line="596" w:lineRule="exact"/>
        <w:ind w:firstLine="643" w:firstLineChars="200"/>
        <w:textAlignment w:val="auto"/>
        <w:rPr>
          <w:rFonts w:ascii="仿宋_GB2312" w:hAnsi="仿宋_GB2312" w:eastAsia="仿宋_GB2312" w:cs="仿宋_GB2312"/>
          <w:sz w:val="32"/>
          <w:szCs w:val="32"/>
        </w:rPr>
      </w:pPr>
      <w:r>
        <w:rPr>
          <w:rStyle w:val="19"/>
          <w:rFonts w:hint="eastAsia" w:ascii="仿宋_GB2312" w:hAnsi="Times New Roman" w:eastAsia="仿宋_GB2312"/>
          <w:b/>
          <w:bCs/>
          <w:sz w:val="32"/>
          <w:szCs w:val="32"/>
        </w:rPr>
        <w:t>畅通国内国际双循环推动寄递生态产业发展</w:t>
      </w:r>
      <w:r>
        <w:rPr>
          <w:rStyle w:val="19"/>
          <w:rFonts w:hint="eastAsia" w:ascii="仿宋_GB2312" w:hAnsi="楷体" w:eastAsia="仿宋_GB2312" w:cs="宋体"/>
          <w:b/>
          <w:bCs/>
          <w:kern w:val="0"/>
          <w:sz w:val="32"/>
          <w:szCs w:val="32"/>
        </w:rPr>
        <w:t>。</w:t>
      </w:r>
      <w:r>
        <w:rPr>
          <w:rFonts w:ascii="Times New Roman" w:hAnsi="Times New Roman" w:eastAsia="仿宋_GB2312"/>
          <w:sz w:val="32"/>
          <w:szCs w:val="32"/>
        </w:rPr>
        <w:t>当前，构建以国内大循环为主体，国内国际双循环相互促进的新发展格局，</w:t>
      </w:r>
      <w:r>
        <w:rPr>
          <w:rFonts w:hint="eastAsia" w:ascii="Times New Roman" w:hAnsi="Times New Roman" w:eastAsia="仿宋_GB2312"/>
          <w:sz w:val="32"/>
          <w:szCs w:val="32"/>
        </w:rPr>
        <w:t>需要</w:t>
      </w:r>
      <w:r>
        <w:rPr>
          <w:rFonts w:ascii="Times New Roman" w:hAnsi="Times New Roman" w:eastAsia="仿宋_GB2312"/>
          <w:sz w:val="32"/>
          <w:szCs w:val="32"/>
        </w:rPr>
        <w:t>邮政业</w:t>
      </w:r>
      <w:r>
        <w:rPr>
          <w:rFonts w:hint="eastAsia" w:ascii="Times New Roman" w:hAnsi="Times New Roman" w:eastAsia="仿宋_GB2312"/>
          <w:sz w:val="32"/>
          <w:szCs w:val="32"/>
        </w:rPr>
        <w:t>发挥</w:t>
      </w:r>
      <w:r>
        <w:rPr>
          <w:rFonts w:ascii="Times New Roman" w:hAnsi="Times New Roman" w:eastAsia="仿宋_GB2312"/>
          <w:sz w:val="32"/>
          <w:szCs w:val="32"/>
        </w:rPr>
        <w:t>畅通国内国际、衔接城市农村、贯通生产消费的优势作用</w:t>
      </w:r>
      <w:r>
        <w:rPr>
          <w:rFonts w:hint="eastAsia" w:ascii="仿宋_GB2312" w:hAnsi="仿宋_GB2312" w:eastAsia="仿宋_GB2312" w:cs="仿宋_GB2312"/>
          <w:sz w:val="32"/>
          <w:szCs w:val="32"/>
        </w:rPr>
        <w:t>。国内电子商务发展趋势仍然向好，</w:t>
      </w:r>
      <w:r>
        <w:rPr>
          <w:rFonts w:hint="eastAsia" w:ascii="仿宋_GB2312" w:hAnsi="仿宋_GB2312" w:eastAsia="仿宋_GB2312" w:cs="仿宋_GB2312"/>
          <w:sz w:val="32"/>
          <w:szCs w:val="32"/>
          <w:lang w:val="en-US" w:eastAsia="zh-CN"/>
        </w:rPr>
        <w:t>快递</w:t>
      </w:r>
      <w:r>
        <w:rPr>
          <w:rFonts w:hint="eastAsia" w:ascii="仿宋_GB2312" w:hAnsi="仿宋_GB2312" w:eastAsia="仿宋_GB2312" w:cs="仿宋_GB2312"/>
          <w:sz w:val="32"/>
          <w:szCs w:val="32"/>
        </w:rPr>
        <w:t>服务现代农业发展势头强劲，与制造业融合发展持续深化，行业新业态新模式不断涌现，产业链加速发展壮大。全球经济加速分化，外贸经济向内地转移，新兴市场国家跨境电商保持强势增长，国际寄递物流供应链领域的需求不断提高。</w:t>
      </w:r>
      <w:r>
        <w:rPr>
          <w:rFonts w:ascii="仿宋_GB2312" w:hAnsi="仿宋_GB2312" w:eastAsia="仿宋_GB2312" w:cs="仿宋_GB2312"/>
          <w:sz w:val="32"/>
          <w:szCs w:val="32"/>
        </w:rPr>
        <w:t>在新的形势下</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安徽邮政业国际发展既要抓住机遇</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加快走向国际市场</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也要防范风险</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稳妥应对困难和挑战</w:t>
      </w:r>
      <w:r>
        <w:rPr>
          <w:rFonts w:hint="eastAsia" w:ascii="仿宋_GB2312" w:hAnsi="仿宋_GB2312" w:eastAsia="仿宋_GB2312" w:cs="仿宋_GB2312"/>
          <w:sz w:val="32"/>
          <w:szCs w:val="32"/>
        </w:rPr>
        <w:t>。</w:t>
      </w: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596" w:lineRule="exact"/>
        <w:ind w:firstLine="643" w:firstLineChars="200"/>
        <w:jc w:val="both"/>
        <w:textAlignment w:val="auto"/>
        <w:rPr>
          <w:rFonts w:ascii="仿宋_GB2312" w:hAnsi="仿宋_GB2312" w:eastAsia="仿宋_GB2312" w:cs="仿宋_GB2312"/>
          <w:kern w:val="2"/>
          <w:sz w:val="32"/>
          <w:szCs w:val="32"/>
        </w:rPr>
      </w:pPr>
      <w:r>
        <w:rPr>
          <w:rStyle w:val="19"/>
          <w:rFonts w:hint="eastAsia" w:ascii="仿宋_GB2312" w:hAnsi="Times New Roman" w:eastAsia="仿宋_GB2312"/>
          <w:b/>
          <w:bCs/>
          <w:sz w:val="32"/>
          <w:szCs w:val="32"/>
        </w:rPr>
        <w:t>城市群发展推动构建</w:t>
      </w:r>
      <w:r>
        <w:rPr>
          <w:rStyle w:val="19"/>
          <w:rFonts w:hint="eastAsia" w:ascii="仿宋_GB2312" w:hAnsi="Times New Roman" w:eastAsia="仿宋_GB2312"/>
          <w:b/>
          <w:bCs/>
          <w:sz w:val="32"/>
          <w:szCs w:val="32"/>
          <w:lang w:val="en-US" w:eastAsia="zh-CN"/>
        </w:rPr>
        <w:t>安徽</w:t>
      </w:r>
      <w:r>
        <w:rPr>
          <w:rStyle w:val="19"/>
          <w:rFonts w:hint="eastAsia" w:ascii="仿宋_GB2312" w:hAnsi="Times New Roman" w:eastAsia="仿宋_GB2312"/>
          <w:b/>
          <w:bCs/>
          <w:sz w:val="32"/>
          <w:szCs w:val="32"/>
        </w:rPr>
        <w:t>邮政经济地理新格局。</w:t>
      </w:r>
      <w:r>
        <w:rPr>
          <w:rFonts w:hint="eastAsia" w:ascii="仿宋_GB2312" w:hAnsi="仿宋_GB2312" w:eastAsia="仿宋_GB2312" w:cs="仿宋_GB2312"/>
          <w:kern w:val="2"/>
          <w:sz w:val="32"/>
          <w:szCs w:val="32"/>
        </w:rPr>
        <w:t>围绕安徽省“一圈五区”建设，合肥、芜湖、蚌埠、阜阳、安庆“五大枢纽”集聚效应更加凸显，对内、对外辐射带动力将显著增强。邮政快递在规模总量、主体培育、涉农服务、产业集聚等方面将进一步发力。通过全力服务打造“芯屏器合、集中生智”，将推动</w:t>
      </w:r>
      <w:r>
        <w:rPr>
          <w:rFonts w:hint="eastAsia" w:ascii="仿宋_GB2312" w:hAnsi="仿宋_GB2312" w:eastAsia="仿宋_GB2312" w:cs="仿宋_GB2312"/>
          <w:kern w:val="2"/>
          <w:sz w:val="32"/>
          <w:szCs w:val="32"/>
          <w:lang w:val="en-US" w:eastAsia="zh-CN"/>
        </w:rPr>
        <w:t>安徽</w:t>
      </w:r>
      <w:r>
        <w:rPr>
          <w:rFonts w:hint="eastAsia" w:ascii="仿宋_GB2312" w:hAnsi="仿宋_GB2312" w:eastAsia="仿宋_GB2312" w:cs="仿宋_GB2312"/>
          <w:kern w:val="2"/>
          <w:sz w:val="32"/>
          <w:szCs w:val="32"/>
        </w:rPr>
        <w:t>邮政业从服务消费供应链向生产供应链延伸，从服务新零售向新制造延伸。</w:t>
      </w:r>
    </w:p>
    <w:p>
      <w:pPr>
        <w:keepNext w:val="0"/>
        <w:keepLines w:val="0"/>
        <w:pageBreakBefore w:val="0"/>
        <w:widowControl w:val="0"/>
        <w:kinsoku/>
        <w:wordWrap/>
        <w:overflowPunct/>
        <w:topLinePunct w:val="0"/>
        <w:autoSpaceDE/>
        <w:autoSpaceDN/>
        <w:bidi w:val="0"/>
        <w:adjustRightInd/>
        <w:snapToGrid/>
        <w:spacing w:line="596"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安徽</w:t>
      </w:r>
      <w:r>
        <w:rPr>
          <w:rFonts w:hint="eastAsia" w:ascii="仿宋_GB2312" w:hAnsi="仿宋_GB2312" w:eastAsia="仿宋_GB2312" w:cs="仿宋_GB2312"/>
          <w:sz w:val="32"/>
          <w:szCs w:val="32"/>
        </w:rPr>
        <w:t>邮政业发展也面临诸多风险和挑战。一是国际形势</w:t>
      </w:r>
      <w:r>
        <w:rPr>
          <w:rFonts w:ascii="仿宋_GB2312" w:hAnsi="仿宋_GB2312" w:eastAsia="仿宋_GB2312" w:cs="仿宋_GB2312"/>
          <w:sz w:val="32"/>
          <w:szCs w:val="32"/>
        </w:rPr>
        <w:t>复杂严峻</w:t>
      </w:r>
      <w:r>
        <w:rPr>
          <w:rFonts w:hint="eastAsia" w:ascii="仿宋_GB2312" w:hAnsi="仿宋_GB2312" w:eastAsia="仿宋_GB2312" w:cs="仿宋_GB2312"/>
          <w:sz w:val="32"/>
          <w:szCs w:val="32"/>
        </w:rPr>
        <w:t>，国际网络布局面临不确定性，为行业国际市场发展带来挑战。二是市场需求的个性化和多元化对服务品类和服务模式提出更多新要求。三是行业竞争加快，利润空间逐步压缩，部分企业面临末位淘汰，末端生存压力加大，网络运行不稳定风险加大。四是新业态新模式层出不穷，行业监管和治理面临新挑战。五是安全生产形势依然严峻复杂，数据安全风险加大，重大活动、重点区域安全保障压力较大。</w:t>
      </w:r>
    </w:p>
    <w:p>
      <w:pPr>
        <w:pStyle w:val="3"/>
        <w:pageBreakBefore w:val="0"/>
        <w:kinsoku/>
        <w:wordWrap/>
        <w:overflowPunct/>
        <w:topLinePunct w:val="0"/>
        <w:autoSpaceDE/>
        <w:autoSpaceDN/>
        <w:bidi w:val="0"/>
        <w:adjustRightInd/>
        <w:snapToGrid/>
        <w:spacing w:before="0" w:after="0" w:line="596" w:lineRule="exact"/>
        <w:ind w:firstLine="640" w:firstLineChars="200"/>
        <w:textAlignment w:val="auto"/>
      </w:pPr>
      <w:bookmarkStart w:id="6" w:name="_Toc81238280"/>
      <w:r>
        <w:rPr>
          <w:rFonts w:hint="eastAsia" w:ascii="黑体" w:hAnsi="黑体" w:eastAsia="黑体"/>
          <w:b w:val="0"/>
          <w:bCs w:val="0"/>
          <w:sz w:val="32"/>
          <w:szCs w:val="32"/>
        </w:rPr>
        <w:t>二、总体要求</w:t>
      </w:r>
      <w:bookmarkEnd w:id="6"/>
    </w:p>
    <w:p>
      <w:pPr>
        <w:pStyle w:val="18"/>
        <w:pageBreakBefore w:val="0"/>
        <w:kinsoku/>
        <w:wordWrap/>
        <w:overflowPunct/>
        <w:topLinePunct w:val="0"/>
        <w:autoSpaceDE/>
        <w:autoSpaceDN/>
        <w:bidi w:val="0"/>
        <w:adjustRightInd/>
        <w:snapToGrid/>
        <w:spacing w:beforeLines="0" w:afterLines="0" w:line="596" w:lineRule="exact"/>
        <w:ind w:firstLine="643"/>
        <w:textAlignment w:val="auto"/>
        <w:rPr>
          <w:rFonts w:ascii="楷体_GB2312" w:eastAsia="楷体_GB2312"/>
          <w:b w:val="0"/>
          <w:bCs/>
        </w:rPr>
      </w:pPr>
      <w:bookmarkStart w:id="7" w:name="_Toc81238281"/>
      <w:r>
        <w:rPr>
          <w:rFonts w:hint="eastAsia" w:ascii="楷体_GB2312" w:eastAsia="楷体_GB2312"/>
          <w:b w:val="0"/>
          <w:bCs/>
        </w:rPr>
        <w:t>（一）指导思想</w:t>
      </w:r>
      <w:bookmarkEnd w:id="7"/>
    </w:p>
    <w:p>
      <w:pPr>
        <w:pStyle w:val="2"/>
        <w:pageBreakBefore w:val="0"/>
        <w:kinsoku/>
        <w:wordWrap/>
        <w:overflowPunct/>
        <w:topLinePunct w:val="0"/>
        <w:autoSpaceDE/>
        <w:autoSpaceDN/>
        <w:bidi w:val="0"/>
        <w:adjustRightInd/>
        <w:snapToGrid/>
        <w:spacing w:line="596" w:lineRule="exact"/>
        <w:ind w:firstLine="640" w:firstLineChars="200"/>
        <w:textAlignment w:val="auto"/>
        <w:rPr>
          <w:color w:val="FF0000"/>
        </w:rPr>
      </w:pPr>
      <w:r>
        <w:rPr>
          <w:rFonts w:hint="eastAsia" w:ascii="仿宋_GB2312" w:hAnsi="仿宋_GB2312" w:eastAsia="仿宋_GB2312" w:cs="仿宋_GB2312"/>
        </w:rPr>
        <w:t>以习近平新时代中国特色社会主义思想为指导，深入贯彻习近平总书记考察安徽重要讲话和对邮政业发展的重要指示批示精神，充分发挥制度优势，</w:t>
      </w:r>
      <w:r>
        <w:rPr>
          <w:rFonts w:hint="eastAsia" w:ascii="仿宋_GB2312" w:hAnsi="仿宋_GB2312" w:eastAsia="仿宋_GB2312" w:cs="仿宋_GB2312"/>
          <w:color w:val="auto"/>
          <w:sz w:val="32"/>
          <w:szCs w:val="32"/>
          <w:lang w:val="zh-CN" w:bidi="zh-CN"/>
        </w:rPr>
        <w:t>立足新发展阶段</w:t>
      </w:r>
      <w:r>
        <w:rPr>
          <w:rFonts w:hint="eastAsia" w:ascii="仿宋_GB2312" w:hAnsi="仿宋_GB2312" w:eastAsia="仿宋_GB2312" w:cs="仿宋_GB2312"/>
        </w:rPr>
        <w:t>、贯彻</w:t>
      </w:r>
      <w:r>
        <w:rPr>
          <w:rFonts w:hint="eastAsia" w:ascii="仿宋_GB2312" w:hAnsi="仿宋_GB2312" w:eastAsia="仿宋_GB2312" w:cs="仿宋_GB2312"/>
          <w:color w:val="auto"/>
          <w:sz w:val="32"/>
          <w:szCs w:val="32"/>
          <w:lang w:val="zh-CN" w:bidi="zh-CN"/>
        </w:rPr>
        <w:t>新发展理念</w:t>
      </w:r>
      <w:r>
        <w:rPr>
          <w:rFonts w:hint="eastAsia" w:ascii="仿宋_GB2312" w:hAnsi="仿宋_GB2312" w:eastAsia="仿宋_GB2312" w:cs="仿宋_GB2312"/>
        </w:rPr>
        <w:t>、</w:t>
      </w:r>
      <w:r>
        <w:rPr>
          <w:rFonts w:hint="eastAsia" w:ascii="仿宋_GB2312" w:hAnsi="仿宋_GB2312" w:eastAsia="仿宋_GB2312" w:cs="仿宋_GB2312"/>
          <w:color w:val="auto"/>
          <w:sz w:val="32"/>
          <w:szCs w:val="32"/>
          <w:lang w:val="zh-CN" w:bidi="zh-CN"/>
        </w:rPr>
        <w:t>服务构建新发展格局</w:t>
      </w:r>
      <w:r>
        <w:rPr>
          <w:rFonts w:hint="eastAsia" w:ascii="仿宋_GB2312" w:hAnsi="仿宋_GB2312" w:eastAsia="仿宋_GB2312" w:cs="仿宋_GB2312"/>
        </w:rPr>
        <w:t>，坚持以人民为中心的发展思想，以推动邮政业高质量发展为主题，以</w:t>
      </w:r>
      <w:r>
        <w:rPr>
          <w:rFonts w:ascii="仿宋_GB2312" w:hAnsi="仿宋_GB2312" w:eastAsia="仿宋_GB2312" w:cs="仿宋_GB2312"/>
        </w:rPr>
        <w:t>深化邮政业供给侧结构性改革为主线，</w:t>
      </w:r>
      <w:r>
        <w:rPr>
          <w:rFonts w:hint="eastAsia" w:ascii="仿宋_GB2312" w:hAnsi="仿宋_GB2312" w:eastAsia="仿宋_GB2312" w:cs="仿宋_GB2312"/>
        </w:rPr>
        <w:t>紧紧围绕高水平</w:t>
      </w:r>
      <w:r>
        <w:rPr>
          <w:rFonts w:ascii="仿宋_GB2312" w:hAnsi="仿宋_GB2312" w:eastAsia="仿宋_GB2312" w:cs="仿宋_GB2312"/>
        </w:rPr>
        <w:t>共建</w:t>
      </w:r>
      <w:r>
        <w:rPr>
          <w:rFonts w:hint="eastAsia" w:ascii="仿宋_GB2312" w:hAnsi="仿宋_GB2312" w:eastAsia="仿宋_GB2312" w:cs="仿宋_GB2312"/>
        </w:rPr>
        <w:t>“一带一路”和长江经济带、长三角一体化发展</w:t>
      </w:r>
      <w:r>
        <w:rPr>
          <w:rFonts w:hint="eastAsia" w:ascii="仿宋_GB2312" w:hAnsi="仿宋_GB2312" w:eastAsia="仿宋_GB2312" w:cs="仿宋_GB2312"/>
          <w:lang w:eastAsia="zh-CN"/>
        </w:rPr>
        <w:t>、</w:t>
      </w:r>
      <w:r>
        <w:rPr>
          <w:rFonts w:hint="eastAsia" w:ascii="仿宋_GB2312" w:hAnsi="仿宋_GB2312" w:eastAsia="仿宋_GB2312" w:cs="仿宋_GB2312"/>
          <w:lang w:val="en-US" w:eastAsia="zh-CN"/>
        </w:rPr>
        <w:t>中部地区高质量发展</w:t>
      </w:r>
      <w:r>
        <w:rPr>
          <w:rFonts w:hint="eastAsia" w:ascii="仿宋_GB2312" w:hAnsi="仿宋_GB2312" w:eastAsia="仿宋_GB2312" w:cs="仿宋_GB2312"/>
        </w:rPr>
        <w:t>等国家战略，按照“服务全领域、激活全要素</w:t>
      </w:r>
      <w:r>
        <w:rPr>
          <w:rFonts w:ascii="仿宋_GB2312" w:hAnsi="仿宋_GB2312" w:eastAsia="仿宋_GB2312" w:cs="仿宋_GB2312"/>
        </w:rPr>
        <w:t>，</w:t>
      </w:r>
      <w:r>
        <w:rPr>
          <w:rFonts w:hint="eastAsia" w:ascii="仿宋_GB2312" w:hAnsi="仿宋_GB2312" w:eastAsia="仿宋_GB2312" w:cs="仿宋_GB2312"/>
        </w:rPr>
        <w:t>打造双高地、畅通双循环”的工作思路，以“进村进厂出海”工程、推动安徽自贸试验区建设为重点，构建“一轴一带多点”的安徽邮政业发展新格局</w:t>
      </w:r>
      <w:r>
        <w:rPr>
          <w:rFonts w:ascii="仿宋_GB2312" w:hAnsi="仿宋_GB2312" w:eastAsia="仿宋_GB2312" w:cs="仿宋_GB2312"/>
        </w:rPr>
        <w:t>，</w:t>
      </w:r>
      <w:r>
        <w:rPr>
          <w:rFonts w:hint="eastAsia" w:ascii="仿宋_GB2312" w:hAnsi="仿宋_GB2312" w:eastAsia="仿宋_GB2312" w:cs="仿宋_GB2312"/>
        </w:rPr>
        <w:t>全方位提升行业贡献度和影响力，努力把安徽打造成邮政业高质量发展的示范区，推动实现更高质量、更有效率、更加公平、更可持续、更为安全的发展，为建设邮政强国、推动安徽实现“两个更大”开好局、起好步。</w:t>
      </w:r>
    </w:p>
    <w:p>
      <w:pPr>
        <w:pStyle w:val="18"/>
        <w:pageBreakBefore w:val="0"/>
        <w:kinsoku/>
        <w:wordWrap/>
        <w:overflowPunct/>
        <w:topLinePunct w:val="0"/>
        <w:autoSpaceDE/>
        <w:autoSpaceDN/>
        <w:bidi w:val="0"/>
        <w:adjustRightInd/>
        <w:snapToGrid/>
        <w:spacing w:beforeLines="0" w:afterLines="0" w:line="596" w:lineRule="exact"/>
        <w:ind w:firstLine="643"/>
        <w:textAlignment w:val="auto"/>
        <w:rPr>
          <w:rFonts w:ascii="楷体_GB2312" w:eastAsia="楷体_GB2312"/>
          <w:b w:val="0"/>
          <w:bCs/>
        </w:rPr>
      </w:pPr>
      <w:bookmarkStart w:id="8" w:name="_Toc81238282"/>
      <w:r>
        <w:rPr>
          <w:rFonts w:hint="eastAsia" w:ascii="楷体_GB2312" w:eastAsia="楷体_GB2312"/>
          <w:b w:val="0"/>
          <w:bCs/>
        </w:rPr>
        <w:t>（二）基本原则</w:t>
      </w:r>
      <w:bookmarkEnd w:id="8"/>
    </w:p>
    <w:p>
      <w:pPr>
        <w:pageBreakBefore w:val="0"/>
        <w:kinsoku/>
        <w:wordWrap/>
        <w:overflowPunct/>
        <w:topLinePunct w:val="0"/>
        <w:autoSpaceDE/>
        <w:autoSpaceDN/>
        <w:bidi w:val="0"/>
        <w:adjustRightInd/>
        <w:snapToGrid/>
        <w:spacing w:line="596" w:lineRule="exact"/>
        <w:ind w:firstLine="640"/>
        <w:jc w:val="left"/>
        <w:textAlignment w:val="auto"/>
        <w:rPr>
          <w:rFonts w:ascii="仿宋_GB2312" w:hAnsi="仿宋_GB2312" w:eastAsia="仿宋_GB2312" w:cs="仿宋_GB2312"/>
          <w:sz w:val="32"/>
          <w:szCs w:val="32"/>
        </w:rPr>
      </w:pPr>
      <w:r>
        <w:rPr>
          <w:rFonts w:hint="eastAsia" w:ascii="仿宋_GB2312" w:hAnsi="仿宋" w:eastAsia="仿宋_GB2312" w:cs="楷体"/>
          <w:b/>
          <w:bCs/>
          <w:sz w:val="32"/>
          <w:szCs w:val="32"/>
        </w:rPr>
        <w:t>坚持普惠协调、服务人民。</w:t>
      </w:r>
      <w:r>
        <w:rPr>
          <w:rFonts w:hint="eastAsia" w:ascii="仿宋_GB2312" w:hAnsi="仿宋_GB2312" w:eastAsia="仿宋_GB2312" w:cs="仿宋_GB2312"/>
          <w:sz w:val="32"/>
          <w:szCs w:val="32"/>
        </w:rPr>
        <w:t>践行以人民为中心的发展思想，提升城乡邮政普遍服务，进一步提升建制村通邮服务水平，持续推进邮政普遍服务均等化。支撑农村地区快递网络建设，强化农村地区快递服务能力，满足农村居民和市场主体快递服务需求。</w:t>
      </w:r>
    </w:p>
    <w:p>
      <w:pPr>
        <w:pageBreakBefore w:val="0"/>
        <w:kinsoku/>
        <w:wordWrap/>
        <w:overflowPunct/>
        <w:topLinePunct w:val="0"/>
        <w:autoSpaceDE/>
        <w:autoSpaceDN/>
        <w:bidi w:val="0"/>
        <w:adjustRightInd/>
        <w:snapToGrid/>
        <w:spacing w:line="596" w:lineRule="exact"/>
        <w:ind w:firstLine="643" w:firstLineChars="200"/>
        <w:textAlignment w:val="auto"/>
        <w:rPr>
          <w:rFonts w:ascii="仿宋_GB2312" w:hAnsi="仿宋_GB2312" w:eastAsia="仿宋_GB2312" w:cs="仿宋_GB2312"/>
          <w:sz w:val="32"/>
          <w:szCs w:val="32"/>
        </w:rPr>
      </w:pPr>
      <w:r>
        <w:rPr>
          <w:rFonts w:hint="eastAsia" w:ascii="仿宋_GB2312" w:hAnsi="仿宋" w:eastAsia="仿宋_GB2312" w:cs="楷体"/>
          <w:b/>
          <w:bCs/>
          <w:sz w:val="32"/>
          <w:szCs w:val="32"/>
        </w:rPr>
        <w:t>坚持服务大局、开放融合。</w:t>
      </w:r>
      <w:r>
        <w:rPr>
          <w:rFonts w:hint="eastAsia" w:ascii="仿宋_GB2312" w:hAnsi="仿宋_GB2312" w:eastAsia="仿宋_GB2312" w:cs="仿宋_GB2312"/>
          <w:sz w:val="32"/>
          <w:szCs w:val="32"/>
        </w:rPr>
        <w:t>发挥行业</w:t>
      </w:r>
      <w:bookmarkStart w:id="9" w:name="_Hlk73514940"/>
      <w:r>
        <w:rPr>
          <w:rFonts w:hint="eastAsia" w:ascii="仿宋_GB2312" w:hAnsi="仿宋_GB2312" w:eastAsia="仿宋_GB2312" w:cs="仿宋_GB2312"/>
          <w:sz w:val="32"/>
          <w:szCs w:val="32"/>
        </w:rPr>
        <w:t>对国家战略的支撑服务</w:t>
      </w:r>
      <w:bookmarkEnd w:id="9"/>
      <w:r>
        <w:rPr>
          <w:rFonts w:hint="eastAsia" w:ascii="仿宋_GB2312" w:hAnsi="仿宋_GB2312" w:eastAsia="仿宋_GB2312" w:cs="仿宋_GB2312"/>
          <w:sz w:val="32"/>
          <w:szCs w:val="32"/>
        </w:rPr>
        <w:t>作用，有效支撑“一带一路”、长江经济带、长三角一体化发展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中部地区高质量发展</w:t>
      </w:r>
      <w:r>
        <w:rPr>
          <w:rFonts w:hint="eastAsia" w:ascii="仿宋_GB2312" w:hAnsi="仿宋_GB2312" w:eastAsia="仿宋_GB2312" w:cs="仿宋_GB2312"/>
          <w:sz w:val="32"/>
          <w:szCs w:val="32"/>
        </w:rPr>
        <w:t>等国家战略，推动高水平对外开放，提升城</w:t>
      </w:r>
      <w:r>
        <w:rPr>
          <w:rFonts w:hint="eastAsia" w:ascii="仿宋_GB2312" w:hAnsi="仿宋_GB2312" w:eastAsia="仿宋_GB2312" w:cs="仿宋_GB2312"/>
          <w:spacing w:val="-6"/>
          <w:sz w:val="32"/>
          <w:szCs w:val="32"/>
        </w:rPr>
        <w:t>乡区域间行业发展的协同性、联动性和整体性，促进产业融合发展。</w:t>
      </w:r>
    </w:p>
    <w:p>
      <w:pPr>
        <w:pageBreakBefore w:val="0"/>
        <w:kinsoku/>
        <w:wordWrap/>
        <w:overflowPunct/>
        <w:topLinePunct w:val="0"/>
        <w:autoSpaceDE/>
        <w:autoSpaceDN/>
        <w:bidi w:val="0"/>
        <w:adjustRightInd/>
        <w:snapToGrid/>
        <w:spacing w:line="596" w:lineRule="exact"/>
        <w:ind w:firstLine="640"/>
        <w:textAlignment w:val="auto"/>
        <w:rPr>
          <w:rFonts w:ascii="仿宋_GB2312" w:hAnsi="仿宋_GB2312" w:eastAsia="仿宋_GB2312" w:cs="仿宋_GB2312"/>
          <w:sz w:val="32"/>
          <w:szCs w:val="32"/>
        </w:rPr>
      </w:pPr>
      <w:r>
        <w:rPr>
          <w:rFonts w:hint="eastAsia" w:ascii="仿宋_GB2312" w:hAnsi="仿宋" w:eastAsia="仿宋_GB2312" w:cs="楷体"/>
          <w:b/>
          <w:bCs/>
          <w:sz w:val="32"/>
          <w:szCs w:val="32"/>
        </w:rPr>
        <w:t>坚持市场主导、共享共治。</w:t>
      </w:r>
      <w:r>
        <w:rPr>
          <w:rFonts w:hint="eastAsia" w:ascii="仿宋_GB2312" w:hAnsi="仿宋_GB2312" w:eastAsia="仿宋_GB2312" w:cs="仿宋_GB2312"/>
          <w:sz w:val="32"/>
          <w:szCs w:val="32"/>
        </w:rPr>
        <w:t>尊重市场规律、尊重区域经济社会发展实际，充分体现城乡、区域间的差异化需求。推动有效市场和有为政府更好结合</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以</w:t>
      </w:r>
      <w:r>
        <w:rPr>
          <w:rFonts w:ascii="仿宋_GB2312" w:hAnsi="仿宋_GB2312" w:eastAsia="仿宋_GB2312" w:cs="仿宋_GB2312"/>
          <w:sz w:val="32"/>
          <w:szCs w:val="32"/>
        </w:rPr>
        <w:t>高效能治理引领高质量发展</w:t>
      </w:r>
      <w:r>
        <w:rPr>
          <w:rFonts w:hint="eastAsia" w:ascii="仿宋_GB2312" w:hAnsi="仿宋_GB2312" w:eastAsia="仿宋_GB2312" w:cs="仿宋_GB2312"/>
          <w:sz w:val="32"/>
          <w:szCs w:val="32"/>
        </w:rPr>
        <w:t>。构建不同市场主体深化合作、优势互补的发展格局，推动基础资源共享共用。推动政府监管与社会监督、行业自律良性互动，加强区域间联合治理，构建行业共治的大治理格局。</w:t>
      </w:r>
    </w:p>
    <w:p>
      <w:pPr>
        <w:pageBreakBefore w:val="0"/>
        <w:kinsoku/>
        <w:wordWrap/>
        <w:overflowPunct/>
        <w:topLinePunct w:val="0"/>
        <w:autoSpaceDE/>
        <w:autoSpaceDN/>
        <w:bidi w:val="0"/>
        <w:adjustRightInd/>
        <w:snapToGrid/>
        <w:spacing w:line="596" w:lineRule="exact"/>
        <w:ind w:firstLine="640"/>
        <w:textAlignment w:val="auto"/>
        <w:rPr>
          <w:rFonts w:ascii="仿宋_GB2312" w:hAnsi="仿宋_GB2312" w:eastAsia="仿宋_GB2312" w:cs="仿宋_GB2312"/>
          <w:sz w:val="32"/>
          <w:szCs w:val="32"/>
        </w:rPr>
      </w:pPr>
      <w:r>
        <w:rPr>
          <w:rFonts w:hint="eastAsia" w:ascii="仿宋_GB2312" w:hAnsi="仿宋" w:eastAsia="仿宋_GB2312" w:cs="楷体"/>
          <w:b/>
          <w:bCs/>
          <w:sz w:val="32"/>
          <w:szCs w:val="32"/>
        </w:rPr>
        <w:t>坚持绿色安全、创新驱动。</w:t>
      </w:r>
      <w:r>
        <w:rPr>
          <w:rFonts w:hint="eastAsia" w:ascii="仿宋_GB2312" w:hAnsi="仿宋_GB2312" w:eastAsia="仿宋_GB2312" w:cs="仿宋_GB2312"/>
          <w:sz w:val="32"/>
          <w:szCs w:val="32"/>
        </w:rPr>
        <w:t>树立生态文明理念，加快建设“绿色邮政”，推动邮件快件绿色包装标准化、减量化和可循环。重视科技创新对行业发展的推动作用，加快新技术推广应用，落实企业安全生产主体责任，提升行业监管信息化水平。</w:t>
      </w:r>
    </w:p>
    <w:p>
      <w:pPr>
        <w:pStyle w:val="18"/>
        <w:pageBreakBefore w:val="0"/>
        <w:kinsoku/>
        <w:wordWrap/>
        <w:overflowPunct/>
        <w:topLinePunct w:val="0"/>
        <w:autoSpaceDE/>
        <w:autoSpaceDN/>
        <w:bidi w:val="0"/>
        <w:adjustRightInd/>
        <w:snapToGrid/>
        <w:spacing w:beforeLines="0" w:afterLines="0" w:line="596" w:lineRule="exact"/>
        <w:ind w:firstLine="643"/>
        <w:textAlignment w:val="auto"/>
        <w:rPr>
          <w:rFonts w:ascii="楷体_GB2312" w:eastAsia="楷体_GB2312"/>
          <w:b w:val="0"/>
          <w:bCs/>
        </w:rPr>
      </w:pPr>
      <w:bookmarkStart w:id="10" w:name="_Toc81238283"/>
      <w:r>
        <w:rPr>
          <w:rFonts w:hint="eastAsia" w:ascii="楷体_GB2312" w:eastAsia="楷体_GB2312"/>
          <w:b w:val="0"/>
          <w:bCs/>
        </w:rPr>
        <w:t>（三）发展目标</w:t>
      </w:r>
      <w:bookmarkEnd w:id="10"/>
    </w:p>
    <w:p>
      <w:pPr>
        <w:pStyle w:val="2"/>
        <w:pageBreakBefore w:val="0"/>
        <w:kinsoku/>
        <w:wordWrap/>
        <w:overflowPunct/>
        <w:topLinePunct w:val="0"/>
        <w:autoSpaceDE/>
        <w:autoSpaceDN/>
        <w:bidi w:val="0"/>
        <w:adjustRightInd/>
        <w:snapToGrid/>
        <w:spacing w:line="596" w:lineRule="exact"/>
        <w:ind w:left="0" w:leftChars="0" w:firstLine="640" w:firstLineChars="200"/>
        <w:textAlignment w:val="auto"/>
        <w:rPr>
          <w:highlight w:val="none"/>
        </w:rPr>
      </w:pPr>
      <w:r>
        <w:rPr>
          <w:rFonts w:hint="eastAsia" w:ascii="仿宋_GB2312" w:hAnsi="仿宋_GB2312" w:eastAsia="仿宋_GB2312" w:cs="仿宋_GB2312"/>
        </w:rPr>
        <w:t>到</w:t>
      </w:r>
      <w:r>
        <w:rPr>
          <w:rFonts w:ascii="仿宋_GB2312" w:hAnsi="仿宋_GB2312" w:eastAsia="仿宋_GB2312" w:cs="仿宋_GB2312"/>
        </w:rPr>
        <w:t>2025年，基本建成智能先进、服务优质、安全高效、绿色节能、城乡一体的现代化邮政快递服务体系。</w:t>
      </w:r>
      <w:r>
        <w:rPr>
          <w:rFonts w:hint="eastAsia" w:ascii="仿宋_GB2312" w:hAnsi="仿宋_GB2312" w:eastAsia="仿宋_GB2312" w:cs="仿宋_GB2312"/>
        </w:rPr>
        <w:t>促进邮政业与电商、农业、制造业、交通运输业等相关产业融合发展、迭代升级。行业基础设施全面完善，服务能力大幅增强，绿色创新水平不断提升，行业发展规模进入全国第一方阵，</w:t>
      </w:r>
      <w:r>
        <w:rPr>
          <w:rFonts w:hint="eastAsia" w:ascii="仿宋_GB2312" w:hAnsi="仿宋_GB2312" w:eastAsia="仿宋_GB2312" w:cs="仿宋_GB2312"/>
          <w:highlight w:val="none"/>
        </w:rPr>
        <w:t>行业增速</w:t>
      </w:r>
      <w:r>
        <w:rPr>
          <w:rFonts w:hint="eastAsia" w:ascii="仿宋_GB2312" w:hAnsi="仿宋_GB2312" w:eastAsia="仿宋_GB2312" w:cs="仿宋_GB2312"/>
          <w:highlight w:val="none"/>
          <w:lang w:val="en-US" w:eastAsia="zh-CN"/>
        </w:rPr>
        <w:t>在长三角区域领先、</w:t>
      </w:r>
      <w:r>
        <w:rPr>
          <w:rFonts w:hint="eastAsia" w:ascii="仿宋_GB2312" w:hAnsi="仿宋_GB2312" w:eastAsia="仿宋_GB2312" w:cs="仿宋_GB2312"/>
          <w:highlight w:val="none"/>
        </w:rPr>
        <w:t>位居全国前列。</w:t>
      </w:r>
    </w:p>
    <w:p>
      <w:pPr>
        <w:pageBreakBefore w:val="0"/>
        <w:kinsoku/>
        <w:wordWrap/>
        <w:overflowPunct/>
        <w:topLinePunct w:val="0"/>
        <w:autoSpaceDE/>
        <w:autoSpaceDN/>
        <w:bidi w:val="0"/>
        <w:adjustRightInd/>
        <w:snapToGrid/>
        <w:spacing w:line="596" w:lineRule="exact"/>
        <w:ind w:firstLine="640"/>
        <w:textAlignment w:val="auto"/>
        <w:rPr>
          <w:rFonts w:ascii="仿宋_GB2312" w:hAnsi="仿宋_GB2312" w:eastAsia="仿宋_GB2312" w:cs="仿宋_GB2312"/>
          <w:sz w:val="32"/>
          <w:szCs w:val="32"/>
        </w:rPr>
      </w:pPr>
      <w:r>
        <w:rPr>
          <w:rFonts w:hint="eastAsia" w:ascii="仿宋_GB2312" w:hAnsi="仿宋" w:eastAsia="仿宋_GB2312" w:cs="楷体"/>
          <w:b/>
          <w:bCs/>
          <w:sz w:val="32"/>
          <w:szCs w:val="32"/>
        </w:rPr>
        <w:t>规模实力：</w:t>
      </w:r>
      <w:r>
        <w:rPr>
          <w:rFonts w:hint="eastAsia" w:ascii="仿宋_GB2312" w:hAnsi="仿宋_GB2312" w:eastAsia="仿宋_GB2312" w:cs="仿宋_GB2312"/>
          <w:sz w:val="32"/>
          <w:szCs w:val="32"/>
        </w:rPr>
        <w:t>到</w:t>
      </w:r>
      <w:r>
        <w:rPr>
          <w:rFonts w:ascii="仿宋_GB2312" w:hAnsi="仿宋_GB2312" w:eastAsia="仿宋_GB2312" w:cs="仿宋_GB2312"/>
          <w:sz w:val="32"/>
          <w:szCs w:val="32"/>
        </w:rPr>
        <w:t>2025</w:t>
      </w:r>
      <w:r>
        <w:rPr>
          <w:rFonts w:hint="eastAsia" w:ascii="仿宋_GB2312" w:hAnsi="仿宋_GB2312" w:eastAsia="仿宋_GB2312" w:cs="仿宋_GB2312"/>
          <w:sz w:val="32"/>
          <w:szCs w:val="32"/>
        </w:rPr>
        <w:t>年，全省邮</w:t>
      </w:r>
      <w:r>
        <w:rPr>
          <w:rFonts w:hint="eastAsia" w:ascii="仿宋_GB2312" w:hAnsi="仿宋_GB2312" w:eastAsia="仿宋_GB2312" w:cs="仿宋_GB2312"/>
          <w:sz w:val="32"/>
          <w:szCs w:val="32"/>
          <w:lang w:val="en-US" w:eastAsia="zh-CN"/>
        </w:rPr>
        <w:t>件</w:t>
      </w:r>
      <w:r>
        <w:rPr>
          <w:rFonts w:hint="eastAsia" w:ascii="仿宋_GB2312" w:hAnsi="仿宋_GB2312" w:eastAsia="仿宋_GB2312" w:cs="仿宋_GB2312"/>
          <w:sz w:val="32"/>
          <w:szCs w:val="32"/>
        </w:rPr>
        <w:t>快件业务量达到</w:t>
      </w:r>
      <w:r>
        <w:rPr>
          <w:rFonts w:ascii="仿宋_GB2312" w:hAnsi="仿宋_GB2312" w:eastAsia="仿宋_GB2312" w:cs="仿宋_GB2312"/>
          <w:sz w:val="32"/>
          <w:szCs w:val="32"/>
        </w:rPr>
        <w:t>80</w:t>
      </w:r>
      <w:r>
        <w:rPr>
          <w:rFonts w:hint="eastAsia" w:ascii="仿宋_GB2312" w:hAnsi="仿宋_GB2312" w:eastAsia="仿宋_GB2312" w:cs="仿宋_GB2312"/>
          <w:sz w:val="32"/>
          <w:szCs w:val="32"/>
        </w:rPr>
        <w:t>亿件，</w:t>
      </w:r>
      <w:r>
        <w:rPr>
          <w:rFonts w:hint="eastAsia" w:ascii="仿宋_GB2312" w:hAnsi="仿宋_GB2312" w:eastAsia="仿宋_GB2312" w:cs="仿宋_GB2312"/>
          <w:sz w:val="32"/>
          <w:szCs w:val="32"/>
          <w:lang w:val="en-US" w:eastAsia="zh-CN"/>
        </w:rPr>
        <w:t>邮政</w:t>
      </w:r>
      <w:r>
        <w:rPr>
          <w:rFonts w:hint="eastAsia" w:ascii="仿宋_GB2312" w:hAnsi="仿宋_GB2312" w:eastAsia="仿宋_GB2312" w:cs="仿宋_GB2312"/>
          <w:sz w:val="32"/>
          <w:szCs w:val="32"/>
        </w:rPr>
        <w:t>业业务收入达到</w:t>
      </w:r>
      <w:r>
        <w:rPr>
          <w:rFonts w:ascii="仿宋_GB2312" w:hAnsi="仿宋_GB2312" w:eastAsia="仿宋_GB2312" w:cs="仿宋_GB2312"/>
          <w:sz w:val="32"/>
          <w:szCs w:val="32"/>
        </w:rPr>
        <w:t>600</w:t>
      </w:r>
      <w:r>
        <w:rPr>
          <w:rFonts w:hint="eastAsia" w:ascii="仿宋_GB2312" w:hAnsi="仿宋_GB2312" w:eastAsia="仿宋_GB2312" w:cs="仿宋_GB2312"/>
          <w:sz w:val="32"/>
          <w:szCs w:val="32"/>
        </w:rPr>
        <w:t>亿元。其中快递业务量达到</w:t>
      </w:r>
      <w:r>
        <w:rPr>
          <w:rFonts w:ascii="仿宋_GB2312" w:hAnsi="仿宋_GB2312" w:eastAsia="仿宋_GB2312" w:cs="仿宋_GB2312"/>
          <w:sz w:val="32"/>
          <w:szCs w:val="32"/>
        </w:rPr>
        <w:t>65</w:t>
      </w:r>
      <w:r>
        <w:rPr>
          <w:rFonts w:hint="eastAsia" w:ascii="仿宋_GB2312" w:hAnsi="仿宋_GB2312" w:eastAsia="仿宋_GB2312" w:cs="仿宋_GB2312"/>
          <w:sz w:val="32"/>
          <w:szCs w:val="32"/>
        </w:rPr>
        <w:t>亿件，快递业务收入达到</w:t>
      </w:r>
      <w:r>
        <w:rPr>
          <w:rFonts w:hint="eastAsia" w:ascii="仿宋_GB2312" w:hAnsi="仿宋_GB2312" w:eastAsia="仿宋_GB2312" w:cs="仿宋_GB2312"/>
          <w:sz w:val="32"/>
          <w:szCs w:val="32"/>
          <w:lang w:val="en-US" w:eastAsia="zh-CN"/>
        </w:rPr>
        <w:t>45</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亿元。</w:t>
      </w:r>
    </w:p>
    <w:p>
      <w:pPr>
        <w:pageBreakBefore w:val="0"/>
        <w:kinsoku/>
        <w:wordWrap/>
        <w:overflowPunct/>
        <w:topLinePunct w:val="0"/>
        <w:autoSpaceDE/>
        <w:autoSpaceDN/>
        <w:bidi w:val="0"/>
        <w:adjustRightInd/>
        <w:snapToGrid/>
        <w:spacing w:line="596" w:lineRule="exact"/>
        <w:ind w:firstLine="643" w:firstLineChars="200"/>
        <w:textAlignment w:val="auto"/>
        <w:rPr>
          <w:rFonts w:ascii="仿宋_GB2312" w:hAnsi="仿宋_GB2312" w:eastAsia="仿宋_GB2312" w:cs="仿宋_GB2312"/>
          <w:sz w:val="32"/>
          <w:szCs w:val="32"/>
        </w:rPr>
      </w:pPr>
      <w:r>
        <w:rPr>
          <w:rFonts w:hint="eastAsia" w:ascii="仿宋_GB2312" w:hAnsi="仿宋" w:eastAsia="仿宋_GB2312" w:cs="仿宋"/>
          <w:b/>
          <w:sz w:val="32"/>
          <w:szCs w:val="32"/>
        </w:rPr>
        <w:t>基础网络</w:t>
      </w:r>
      <w:r>
        <w:rPr>
          <w:rFonts w:hint="eastAsia" w:ascii="仿宋_GB2312" w:hAnsi="仿宋" w:eastAsia="仿宋_GB2312"/>
          <w:sz w:val="32"/>
          <w:szCs w:val="32"/>
        </w:rPr>
        <w:t>：</w:t>
      </w:r>
      <w:r>
        <w:rPr>
          <w:rFonts w:hint="eastAsia" w:ascii="仿宋_GB2312" w:hAnsi="仿宋_GB2312" w:eastAsia="仿宋_GB2312" w:cs="仿宋_GB2312"/>
          <w:sz w:val="32"/>
          <w:szCs w:val="32"/>
        </w:rPr>
        <w:t>基础网络深入城乡、通达全球，实现村村有服务，城市末端网络更加完善，与综合交通衔接更加顺畅，智能收投服务更加便捷，国际寄递物流更加畅通，形成国际、全国和区域三级邮政快递枢纽空间布局。智能分拣水平明显提升，全省基本建成市、县两级快递生态物流园区。</w:t>
      </w:r>
    </w:p>
    <w:p>
      <w:pPr>
        <w:pageBreakBefore w:val="0"/>
        <w:kinsoku/>
        <w:wordWrap/>
        <w:overflowPunct/>
        <w:topLinePunct w:val="0"/>
        <w:autoSpaceDE/>
        <w:autoSpaceDN/>
        <w:bidi w:val="0"/>
        <w:adjustRightInd/>
        <w:snapToGrid/>
        <w:spacing w:line="596" w:lineRule="exact"/>
        <w:ind w:firstLine="640"/>
        <w:textAlignment w:val="auto"/>
        <w:rPr>
          <w:rFonts w:ascii="仿宋" w:hAnsi="仿宋" w:eastAsia="仿宋" w:cs="仿宋_GB2312"/>
          <w:sz w:val="32"/>
          <w:szCs w:val="32"/>
        </w:rPr>
      </w:pPr>
      <w:r>
        <w:rPr>
          <w:rFonts w:hint="eastAsia" w:ascii="仿宋_GB2312" w:hAnsi="仿宋" w:eastAsia="仿宋_GB2312" w:cs="楷体"/>
          <w:b/>
          <w:bCs/>
          <w:sz w:val="32"/>
          <w:szCs w:val="32"/>
        </w:rPr>
        <w:t>服务水平：</w:t>
      </w:r>
      <w:r>
        <w:rPr>
          <w:rFonts w:hint="eastAsia" w:ascii="仿宋_GB2312" w:hAnsi="仿宋_GB2312" w:eastAsia="仿宋_GB2312" w:cs="仿宋_GB2312"/>
          <w:sz w:val="32"/>
          <w:szCs w:val="32"/>
        </w:rPr>
        <w:t>邮政普遍服务均等化水平稳步提升，农村地区邮政普遍服务时限显著缩短。寄递服务体系呈现多样化、差异化，全行业对电子商务、现代农业、制造业的支撑作用明显增强。邮政、快递服务用户满意度不断提升。</w:t>
      </w:r>
    </w:p>
    <w:p>
      <w:pPr>
        <w:pageBreakBefore w:val="0"/>
        <w:kinsoku/>
        <w:wordWrap/>
        <w:overflowPunct/>
        <w:topLinePunct w:val="0"/>
        <w:autoSpaceDE/>
        <w:autoSpaceDN/>
        <w:bidi w:val="0"/>
        <w:adjustRightInd/>
        <w:snapToGrid/>
        <w:spacing w:line="596" w:lineRule="exact"/>
        <w:ind w:firstLine="640"/>
        <w:textAlignment w:val="auto"/>
        <w:rPr>
          <w:rFonts w:ascii="仿宋_GB2312" w:hAnsi="仿宋_GB2312" w:eastAsia="仿宋_GB2312" w:cs="仿宋_GB2312"/>
          <w:sz w:val="32"/>
          <w:szCs w:val="32"/>
        </w:rPr>
      </w:pPr>
      <w:r>
        <w:rPr>
          <w:rFonts w:hint="eastAsia" w:ascii="仿宋_GB2312" w:hAnsi="仿宋" w:eastAsia="仿宋_GB2312" w:cs="楷体"/>
          <w:b/>
          <w:bCs/>
          <w:sz w:val="32"/>
          <w:szCs w:val="32"/>
        </w:rPr>
        <w:t>创新发展：</w:t>
      </w:r>
      <w:r>
        <w:rPr>
          <w:rFonts w:hint="eastAsia" w:ascii="仿宋_GB2312" w:hAnsi="仿宋_GB2312" w:eastAsia="仿宋_GB2312" w:cs="仿宋_GB2312"/>
          <w:sz w:val="32"/>
          <w:szCs w:val="32"/>
        </w:rPr>
        <w:t>人工智能、</w:t>
      </w:r>
      <w:r>
        <w:rPr>
          <w:rFonts w:ascii="仿宋_GB2312" w:hAnsi="仿宋_GB2312" w:eastAsia="仿宋_GB2312" w:cs="仿宋_GB2312"/>
          <w:sz w:val="32"/>
          <w:szCs w:val="32"/>
        </w:rPr>
        <w:t>5G通信等新技术在行业稳步推广，智能分拣、智能投递全</w:t>
      </w:r>
      <w:r>
        <w:rPr>
          <w:rFonts w:hint="eastAsia" w:ascii="仿宋_GB2312" w:hAnsi="仿宋_GB2312" w:eastAsia="仿宋_GB2312" w:cs="仿宋_GB2312"/>
          <w:sz w:val="32"/>
          <w:szCs w:val="32"/>
        </w:rPr>
        <w:t>面应用。主</w:t>
      </w:r>
      <w:r>
        <w:rPr>
          <w:rFonts w:ascii="仿宋_GB2312" w:hAnsi="仿宋_GB2312" w:eastAsia="仿宋_GB2312" w:cs="仿宋_GB2312"/>
          <w:sz w:val="32"/>
          <w:szCs w:val="32"/>
        </w:rPr>
        <w:t>要品牌邮件快件分拨中心实现</w:t>
      </w:r>
      <w:r>
        <w:rPr>
          <w:rFonts w:hint="eastAsia" w:ascii="仿宋_GB2312" w:hAnsi="仿宋_GB2312" w:eastAsia="仿宋_GB2312" w:cs="仿宋_GB2312"/>
          <w:spacing w:val="2"/>
          <w:sz w:val="32"/>
          <w:szCs w:val="32"/>
        </w:rPr>
        <w:t>智能分拣设备</w:t>
      </w:r>
      <w:r>
        <w:rPr>
          <w:rFonts w:ascii="仿宋_GB2312" w:hAnsi="仿宋_GB2312" w:eastAsia="仿宋_GB2312" w:cs="仿宋_GB2312"/>
          <w:spacing w:val="2"/>
          <w:sz w:val="32"/>
          <w:szCs w:val="32"/>
        </w:rPr>
        <w:t>全覆盖。主要企业基本实现寄递服务便捷化、生产作业自动化、组织管理信息化。打造全国快递科技创新试验基地</w:t>
      </w:r>
      <w:r>
        <w:rPr>
          <w:rFonts w:hint="eastAsia" w:ascii="仿宋_GB2312" w:hAnsi="仿宋_GB2312" w:eastAsia="仿宋_GB2312" w:cs="仿宋_GB2312"/>
          <w:spacing w:val="2"/>
          <w:sz w:val="32"/>
          <w:szCs w:val="32"/>
        </w:rPr>
        <w:t>。</w:t>
      </w:r>
    </w:p>
    <w:p>
      <w:pPr>
        <w:pageBreakBefore w:val="0"/>
        <w:kinsoku/>
        <w:wordWrap/>
        <w:overflowPunct/>
        <w:topLinePunct w:val="0"/>
        <w:autoSpaceDE/>
        <w:autoSpaceDN/>
        <w:bidi w:val="0"/>
        <w:adjustRightInd/>
        <w:snapToGrid/>
        <w:spacing w:line="596" w:lineRule="exact"/>
        <w:ind w:firstLine="640"/>
        <w:textAlignment w:val="auto"/>
        <w:rPr>
          <w:rFonts w:ascii="仿宋_GB2312" w:hAnsi="仿宋_GB2312" w:eastAsia="仿宋_GB2312" w:cs="仿宋_GB2312"/>
          <w:sz w:val="32"/>
          <w:szCs w:val="32"/>
        </w:rPr>
      </w:pPr>
      <w:r>
        <w:rPr>
          <w:rFonts w:hint="eastAsia" w:ascii="仿宋_GB2312" w:hAnsi="仿宋" w:eastAsia="仿宋_GB2312" w:cs="楷体"/>
          <w:b/>
          <w:bCs/>
          <w:sz w:val="32"/>
          <w:szCs w:val="32"/>
        </w:rPr>
        <w:t>监管能力：</w:t>
      </w:r>
      <w:r>
        <w:rPr>
          <w:rFonts w:hint="eastAsia" w:ascii="仿宋_GB2312" w:hAnsi="仿宋_GB2312" w:eastAsia="仿宋_GB2312" w:cs="仿宋_GB2312"/>
          <w:sz w:val="32"/>
          <w:szCs w:val="32"/>
        </w:rPr>
        <w:t>省、市、县（区）三级邮政监管体系基本建成，行业立法进程进一步加快，法制体系进一步健全，依法行政能力进一步增强，监管方式进一步完善，行业监管信息化水平全面提升，行业治理体系和治理能力现代化水平不断提高。顺利完成“绿盾”工程涉省项目建设，主要分拣处理场地实行联网监控。</w:t>
      </w:r>
    </w:p>
    <w:p>
      <w:pPr>
        <w:keepNext w:val="0"/>
        <w:keepLines w:val="0"/>
        <w:pageBreakBefore w:val="0"/>
        <w:widowControl w:val="0"/>
        <w:kinsoku/>
        <w:wordWrap/>
        <w:overflowPunct/>
        <w:topLinePunct w:val="0"/>
        <w:autoSpaceDE/>
        <w:autoSpaceDN/>
        <w:bidi w:val="0"/>
        <w:adjustRightInd/>
        <w:snapToGrid/>
        <w:spacing w:line="596" w:lineRule="exact"/>
        <w:ind w:firstLine="641"/>
        <w:textAlignment w:val="auto"/>
        <w:rPr>
          <w:rFonts w:hint="eastAsia" w:ascii="仿宋_GB2312" w:hAnsi="仿宋_GB2312" w:eastAsia="仿宋_GB2312" w:cs="仿宋_GB2312"/>
          <w:sz w:val="32"/>
          <w:szCs w:val="32"/>
          <w:lang w:eastAsia="zh-CN"/>
        </w:rPr>
      </w:pPr>
      <w:r>
        <w:rPr>
          <w:rFonts w:hint="eastAsia" w:ascii="仿宋_GB2312" w:hAnsi="仿宋" w:eastAsia="仿宋_GB2312" w:cs="仿宋_GB2312"/>
          <w:b/>
          <w:sz w:val="32"/>
          <w:szCs w:val="32"/>
        </w:rPr>
        <w:t>绿色环保：</w:t>
      </w:r>
      <w:r>
        <w:rPr>
          <w:rFonts w:hint="eastAsia" w:ascii="仿宋_GB2312" w:hAnsi="仿宋_GB2312" w:eastAsia="仿宋_GB2312" w:cs="仿宋_GB2312"/>
          <w:sz w:val="32"/>
          <w:szCs w:val="32"/>
        </w:rPr>
        <w:t>环保技术、环保材料广泛应用，电商快件基本不再二次包装，</w:t>
      </w:r>
      <w:r>
        <w:rPr>
          <w:rFonts w:ascii="仿宋_GB2312" w:hAnsi="仿宋_GB2312" w:eastAsia="仿宋_GB2312" w:cs="仿宋_GB2312"/>
          <w:sz w:val="32"/>
          <w:szCs w:val="32"/>
        </w:rPr>
        <w:t>所有快递网点均设置包装废弃物回收装置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可循环快递包装保有量稳步增长，</w:t>
      </w:r>
      <w:r>
        <w:rPr>
          <w:rFonts w:hint="eastAsia" w:ascii="仿宋_GB2312" w:hAnsi="仿宋_GB2312" w:eastAsia="仿宋_GB2312" w:cs="仿宋_GB2312"/>
          <w:sz w:val="32"/>
          <w:szCs w:val="32"/>
          <w:highlight w:val="none"/>
          <w:lang w:val="en-US" w:eastAsia="zh-CN"/>
        </w:rPr>
        <w:t>绿色网点和</w:t>
      </w:r>
      <w:r>
        <w:rPr>
          <w:rFonts w:hint="eastAsia" w:ascii="仿宋_GB2312" w:hAnsi="仿宋_GB2312" w:eastAsia="仿宋_GB2312" w:cs="仿宋_GB2312"/>
          <w:sz w:val="32"/>
          <w:szCs w:val="32"/>
          <w:lang w:val="en-US" w:eastAsia="zh-CN"/>
        </w:rPr>
        <w:t>绿色分拨中心建设取得明显成效。</w:t>
      </w:r>
      <w:r>
        <w:rPr>
          <w:rFonts w:hint="eastAsia" w:ascii="仿宋_GB2312" w:hAnsi="仿宋_GB2312" w:eastAsia="仿宋_GB2312" w:cs="仿宋_GB2312"/>
          <w:sz w:val="32"/>
          <w:szCs w:val="32"/>
        </w:rPr>
        <w:t>新能源或清洁能源汽车使用量大幅提升</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6" w:lineRule="exact"/>
        <w:ind w:firstLine="641"/>
        <w:textAlignment w:val="auto"/>
        <w:rPr>
          <w:rFonts w:hint="eastAsia"/>
        </w:rPr>
      </w:pPr>
      <w:r>
        <w:rPr>
          <w:rFonts w:hint="eastAsia" w:ascii="仿宋_GB2312" w:hAnsi="仿宋_GB2312" w:eastAsia="仿宋_GB2312" w:cs="仿宋_GB2312"/>
          <w:sz w:val="32"/>
          <w:szCs w:val="32"/>
          <w:lang w:val="en-US" w:eastAsia="zh-CN"/>
        </w:rPr>
        <w:t>到2035年，安徽省邮政业发展质量大幅跃升，网络覆盖更加广泛深入、装备设施更加高效智能、服务供给更加精准多元、产业融合更加紧密有效、行业发展更加安全环保，创新水平达到长三角前列，率先实现治理能力现代化。安徽成为全国邮政业的创新高地、发展高地、治理高地。在安徽省建成现代化经济体系、加速长三角一体化、进入创新型省份前列、实现全省人民共同富裕中贡献更大力量。</w:t>
      </w:r>
    </w:p>
    <w:p>
      <w:pPr>
        <w:spacing w:before="50" w:line="560" w:lineRule="exact"/>
        <w:jc w:val="center"/>
        <w:rPr>
          <w:rFonts w:ascii="黑体" w:hAnsi="黑体" w:eastAsia="黑体" w:cs="黑体"/>
          <w:bCs/>
          <w:sz w:val="32"/>
          <w:szCs w:val="32"/>
        </w:rPr>
      </w:pPr>
      <w:r>
        <w:rPr>
          <w:rFonts w:hint="eastAsia" w:ascii="黑体" w:hAnsi="黑体" w:eastAsia="黑体" w:cs="黑体"/>
          <w:bCs/>
          <w:sz w:val="32"/>
          <w:szCs w:val="32"/>
        </w:rPr>
        <w:t>专栏</w:t>
      </w:r>
      <w:r>
        <w:rPr>
          <w:rFonts w:ascii="黑体" w:hAnsi="黑体" w:eastAsia="黑体" w:cs="黑体"/>
          <w:bCs/>
          <w:sz w:val="32"/>
          <w:szCs w:val="32"/>
        </w:rPr>
        <w:t xml:space="preserve">1 </w:t>
      </w:r>
      <w:r>
        <w:rPr>
          <w:rFonts w:hint="eastAsia" w:ascii="黑体" w:hAnsi="黑体" w:eastAsia="黑体" w:cs="黑体"/>
          <w:bCs/>
          <w:sz w:val="32"/>
          <w:szCs w:val="32"/>
        </w:rPr>
        <w:t>“十四五”时期安徽邮政业发展主要指标</w:t>
      </w:r>
    </w:p>
    <w:tbl>
      <w:tblPr>
        <w:tblStyle w:val="12"/>
        <w:tblW w:w="8319"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732"/>
        <w:gridCol w:w="4353"/>
        <w:gridCol w:w="944"/>
        <w:gridCol w:w="914"/>
        <w:gridCol w:w="137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1" w:hRule="atLeast"/>
          <w:jc w:val="center"/>
        </w:trPr>
        <w:tc>
          <w:tcPr>
            <w:tcW w:w="732" w:type="dxa"/>
            <w:shd w:val="clear" w:color="000000" w:fill="FFFFFF"/>
            <w:vAlign w:val="center"/>
          </w:tcPr>
          <w:p>
            <w:pPr>
              <w:widowControl/>
              <w:spacing w:line="240" w:lineRule="exact"/>
              <w:jc w:val="center"/>
              <w:rPr>
                <w:rFonts w:hint="eastAsia" w:ascii="黑体" w:hAnsi="黑体" w:eastAsia="黑体"/>
                <w:bCs/>
                <w:kern w:val="0"/>
                <w:szCs w:val="21"/>
                <w:lang w:eastAsia="zh-CN"/>
              </w:rPr>
            </w:pPr>
            <w:r>
              <w:rPr>
                <w:rFonts w:hint="eastAsia" w:ascii="黑体" w:hAnsi="黑体" w:eastAsia="黑体"/>
                <w:bCs/>
                <w:kern w:val="0"/>
                <w:szCs w:val="21"/>
                <w:lang w:eastAsia="zh-CN"/>
              </w:rPr>
              <w:t>类别</w:t>
            </w:r>
          </w:p>
        </w:tc>
        <w:tc>
          <w:tcPr>
            <w:tcW w:w="4353" w:type="dxa"/>
            <w:shd w:val="clear" w:color="000000" w:fill="FFFFFF"/>
            <w:vAlign w:val="center"/>
          </w:tcPr>
          <w:p>
            <w:pPr>
              <w:widowControl/>
              <w:spacing w:line="240" w:lineRule="exact"/>
              <w:jc w:val="center"/>
              <w:rPr>
                <w:rFonts w:ascii="黑体" w:hAnsi="黑体" w:eastAsia="黑体"/>
                <w:bCs/>
                <w:kern w:val="0"/>
                <w:szCs w:val="21"/>
              </w:rPr>
            </w:pPr>
            <w:r>
              <w:rPr>
                <w:rFonts w:ascii="黑体" w:hAnsi="黑体" w:eastAsia="黑体"/>
                <w:bCs/>
                <w:kern w:val="0"/>
                <w:szCs w:val="21"/>
              </w:rPr>
              <w:t>指标</w:t>
            </w:r>
          </w:p>
        </w:tc>
        <w:tc>
          <w:tcPr>
            <w:tcW w:w="944" w:type="dxa"/>
            <w:shd w:val="clear" w:color="000000" w:fill="FFFFFF"/>
            <w:vAlign w:val="center"/>
          </w:tcPr>
          <w:p>
            <w:pPr>
              <w:widowControl/>
              <w:spacing w:line="240" w:lineRule="exact"/>
              <w:jc w:val="center"/>
              <w:rPr>
                <w:rFonts w:ascii="黑体" w:hAnsi="黑体" w:eastAsia="黑体"/>
                <w:bCs/>
                <w:kern w:val="0"/>
                <w:szCs w:val="21"/>
              </w:rPr>
            </w:pPr>
            <w:r>
              <w:rPr>
                <w:rFonts w:ascii="黑体" w:hAnsi="黑体" w:eastAsia="黑体"/>
                <w:bCs/>
                <w:kern w:val="0"/>
                <w:szCs w:val="21"/>
              </w:rPr>
              <w:t>2020年</w:t>
            </w:r>
          </w:p>
        </w:tc>
        <w:tc>
          <w:tcPr>
            <w:tcW w:w="914" w:type="dxa"/>
            <w:shd w:val="clear" w:color="000000" w:fill="FFFFFF"/>
            <w:vAlign w:val="center"/>
          </w:tcPr>
          <w:p>
            <w:pPr>
              <w:widowControl/>
              <w:spacing w:line="240" w:lineRule="exact"/>
              <w:jc w:val="center"/>
              <w:rPr>
                <w:rFonts w:ascii="黑体" w:hAnsi="黑体" w:eastAsia="黑体"/>
                <w:bCs/>
                <w:kern w:val="0"/>
                <w:szCs w:val="21"/>
              </w:rPr>
            </w:pPr>
            <w:r>
              <w:rPr>
                <w:rFonts w:ascii="黑体" w:hAnsi="黑体" w:eastAsia="黑体"/>
                <w:bCs/>
                <w:kern w:val="0"/>
                <w:szCs w:val="21"/>
              </w:rPr>
              <w:t>2025年</w:t>
            </w:r>
          </w:p>
        </w:tc>
        <w:tc>
          <w:tcPr>
            <w:tcW w:w="1376" w:type="dxa"/>
            <w:shd w:val="clear" w:color="000000" w:fill="FFFFFF"/>
            <w:vAlign w:val="center"/>
          </w:tcPr>
          <w:p>
            <w:pPr>
              <w:widowControl/>
              <w:spacing w:line="240" w:lineRule="exact"/>
              <w:jc w:val="center"/>
              <w:rPr>
                <w:rFonts w:ascii="黑体" w:hAnsi="黑体" w:eastAsia="黑体"/>
                <w:bCs/>
                <w:kern w:val="0"/>
                <w:sz w:val="21"/>
                <w:szCs w:val="21"/>
              </w:rPr>
            </w:pPr>
            <w:r>
              <w:rPr>
                <w:rFonts w:hint="eastAsia" w:ascii="黑体" w:hAnsi="黑体" w:eastAsia="黑体"/>
                <w:bCs/>
                <w:kern w:val="0"/>
                <w:sz w:val="21"/>
                <w:szCs w:val="21"/>
              </w:rPr>
              <w:t>年均增速</w:t>
            </w:r>
            <w:r>
              <w:rPr>
                <w:rFonts w:ascii="黑体" w:hAnsi="黑体" w:eastAsia="黑体"/>
                <w:bCs/>
                <w:kern w:val="0"/>
                <w:sz w:val="21"/>
                <w:szCs w:val="21"/>
              </w:rPr>
              <w:t>/</w:t>
            </w:r>
          </w:p>
          <w:p>
            <w:pPr>
              <w:widowControl/>
              <w:spacing w:line="240" w:lineRule="exact"/>
              <w:jc w:val="center"/>
              <w:rPr>
                <w:rFonts w:ascii="黑体" w:hAnsi="黑体" w:eastAsia="黑体"/>
                <w:bCs/>
                <w:kern w:val="0"/>
                <w:szCs w:val="21"/>
              </w:rPr>
            </w:pPr>
            <w:r>
              <w:rPr>
                <w:rFonts w:ascii="黑体" w:hAnsi="黑体" w:eastAsia="黑体"/>
                <w:bCs/>
                <w:kern w:val="0"/>
                <w:sz w:val="21"/>
                <w:szCs w:val="21"/>
              </w:rPr>
              <w:t>增量</w:t>
            </w:r>
            <w:r>
              <w:rPr>
                <w:rFonts w:ascii="黑体" w:hAnsi="黑体" w:eastAsia="黑体"/>
                <w:bCs/>
                <w:kern w:val="0"/>
                <w:szCs w:val="21"/>
              </w:rPr>
              <w:t>[累计]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exact"/>
          <w:jc w:val="center"/>
        </w:trPr>
        <w:tc>
          <w:tcPr>
            <w:tcW w:w="732" w:type="dxa"/>
            <w:vMerge w:val="restart"/>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kern w:val="0"/>
                <w:szCs w:val="21"/>
              </w:rPr>
            </w:pPr>
            <w:r>
              <w:rPr>
                <w:rFonts w:hint="eastAsia" w:ascii="宋体" w:hAnsi="宋体" w:eastAsia="宋体"/>
                <w:kern w:val="0"/>
                <w:szCs w:val="21"/>
              </w:rPr>
              <w:t>规模实力</w:t>
            </w:r>
          </w:p>
        </w:tc>
        <w:tc>
          <w:tcPr>
            <w:tcW w:w="4353"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kern w:val="0"/>
                <w:szCs w:val="21"/>
              </w:rPr>
            </w:pPr>
            <w:r>
              <w:rPr>
                <w:rFonts w:hint="eastAsia" w:ascii="宋体" w:hAnsi="宋体" w:eastAsia="宋体"/>
                <w:kern w:val="0"/>
                <w:szCs w:val="21"/>
                <w:lang w:val="en-US" w:eastAsia="zh-CN"/>
              </w:rPr>
              <w:t>1.</w:t>
            </w:r>
            <w:r>
              <w:rPr>
                <w:rFonts w:hint="eastAsia" w:ascii="宋体" w:hAnsi="宋体" w:eastAsia="宋体"/>
                <w:kern w:val="0"/>
                <w:szCs w:val="21"/>
              </w:rPr>
              <w:t>邮件快件业务量</w:t>
            </w:r>
            <w:r>
              <w:rPr>
                <w:rFonts w:hint="eastAsia" w:ascii="宋体" w:hAnsi="宋体" w:eastAsia="宋体"/>
                <w:kern w:val="0"/>
                <w:szCs w:val="21"/>
                <w:lang w:eastAsia="zh-CN"/>
              </w:rPr>
              <w:t>（</w:t>
            </w:r>
            <w:r>
              <w:rPr>
                <w:rFonts w:hint="eastAsia" w:ascii="宋体" w:hAnsi="宋体" w:eastAsia="宋体"/>
                <w:kern w:val="0"/>
                <w:szCs w:val="21"/>
              </w:rPr>
              <w:t>亿件</w:t>
            </w:r>
            <w:r>
              <w:rPr>
                <w:rFonts w:hint="eastAsia" w:ascii="宋体" w:hAnsi="宋体" w:eastAsia="宋体"/>
                <w:kern w:val="0"/>
                <w:szCs w:val="21"/>
                <w:lang w:eastAsia="zh-CN"/>
              </w:rPr>
              <w:t>）</w:t>
            </w:r>
          </w:p>
        </w:tc>
        <w:tc>
          <w:tcPr>
            <w:tcW w:w="944"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宋体" w:hAnsi="宋体" w:eastAsia="宋体"/>
                <w:kern w:val="0"/>
                <w:szCs w:val="21"/>
                <w:lang w:val="en-US" w:eastAsia="zh-CN"/>
              </w:rPr>
            </w:pPr>
            <w:r>
              <w:rPr>
                <w:rFonts w:hint="eastAsia" w:ascii="宋体" w:hAnsi="宋体"/>
                <w:kern w:val="0"/>
                <w:szCs w:val="21"/>
                <w:lang w:val="en-US" w:eastAsia="zh-CN"/>
              </w:rPr>
              <w:t>33.3</w:t>
            </w:r>
          </w:p>
        </w:tc>
        <w:tc>
          <w:tcPr>
            <w:tcW w:w="914"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楷体"/>
                <w:szCs w:val="21"/>
              </w:rPr>
            </w:pPr>
            <w:r>
              <w:rPr>
                <w:rFonts w:hint="eastAsia" w:ascii="宋体" w:hAnsi="宋体" w:eastAsia="宋体" w:cs="楷体"/>
                <w:szCs w:val="21"/>
              </w:rPr>
              <w:t>8</w:t>
            </w:r>
            <w:r>
              <w:rPr>
                <w:rFonts w:ascii="宋体" w:hAnsi="宋体" w:eastAsia="宋体" w:cs="楷体"/>
                <w:szCs w:val="21"/>
              </w:rPr>
              <w:t>0</w:t>
            </w:r>
          </w:p>
        </w:tc>
        <w:tc>
          <w:tcPr>
            <w:tcW w:w="1376"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楷体"/>
                <w:szCs w:val="21"/>
              </w:rPr>
            </w:pPr>
            <w:r>
              <w:rPr>
                <w:rFonts w:hint="eastAsia" w:ascii="宋体" w:hAnsi="宋体" w:cs="楷体"/>
                <w:color w:val="000000" w:themeColor="text1"/>
                <w:szCs w:val="21"/>
                <w:lang w:val="en-US" w:eastAsia="zh-CN"/>
                <w14:textFill>
                  <w14:solidFill>
                    <w14:schemeClr w14:val="tx1"/>
                  </w14:solidFill>
                </w14:textFill>
              </w:rPr>
              <w:t>19.2</w:t>
            </w:r>
            <w:r>
              <w:rPr>
                <w:rFonts w:hint="eastAsia" w:ascii="宋体" w:hAnsi="宋体" w:eastAsia="宋体" w:cs="楷体"/>
                <w:color w:val="000000" w:themeColor="text1"/>
                <w:szCs w:val="21"/>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exact"/>
          <w:jc w:val="center"/>
        </w:trPr>
        <w:tc>
          <w:tcPr>
            <w:tcW w:w="732"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kern w:val="0"/>
                <w:szCs w:val="21"/>
              </w:rPr>
            </w:pPr>
          </w:p>
        </w:tc>
        <w:tc>
          <w:tcPr>
            <w:tcW w:w="4353"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kern w:val="0"/>
                <w:szCs w:val="21"/>
              </w:rPr>
            </w:pPr>
            <w:r>
              <w:rPr>
                <w:rFonts w:hint="eastAsia" w:ascii="宋体" w:hAnsi="宋体" w:eastAsia="宋体"/>
                <w:kern w:val="0"/>
                <w:szCs w:val="21"/>
                <w:lang w:val="en-US" w:eastAsia="zh-CN"/>
              </w:rPr>
              <w:t>2.</w:t>
            </w:r>
            <w:r>
              <w:rPr>
                <w:rFonts w:ascii="宋体" w:hAnsi="宋体" w:eastAsia="宋体"/>
                <w:kern w:val="0"/>
                <w:szCs w:val="21"/>
              </w:rPr>
              <w:t>邮政</w:t>
            </w:r>
            <w:r>
              <w:rPr>
                <w:rFonts w:hint="eastAsia" w:ascii="宋体" w:hAnsi="宋体" w:eastAsia="宋体"/>
                <w:kern w:val="0"/>
                <w:szCs w:val="21"/>
              </w:rPr>
              <w:t>业</w:t>
            </w:r>
            <w:r>
              <w:rPr>
                <w:rFonts w:ascii="宋体" w:hAnsi="宋体" w:eastAsia="宋体"/>
                <w:kern w:val="0"/>
                <w:szCs w:val="21"/>
              </w:rPr>
              <w:t>业务收入</w:t>
            </w:r>
            <w:r>
              <w:rPr>
                <w:rFonts w:hint="eastAsia" w:ascii="宋体" w:hAnsi="宋体" w:eastAsia="宋体"/>
                <w:kern w:val="0"/>
                <w:szCs w:val="21"/>
                <w:lang w:eastAsia="zh-CN"/>
              </w:rPr>
              <w:t>（</w:t>
            </w:r>
            <w:r>
              <w:rPr>
                <w:rFonts w:ascii="宋体" w:hAnsi="宋体" w:eastAsia="宋体"/>
                <w:kern w:val="0"/>
                <w:szCs w:val="21"/>
              </w:rPr>
              <w:t>亿元</w:t>
            </w:r>
            <w:r>
              <w:rPr>
                <w:rFonts w:hint="eastAsia" w:ascii="宋体" w:hAnsi="宋体" w:eastAsia="宋体"/>
                <w:kern w:val="0"/>
                <w:szCs w:val="21"/>
                <w:lang w:eastAsia="zh-CN"/>
              </w:rPr>
              <w:t>）</w:t>
            </w:r>
          </w:p>
        </w:tc>
        <w:tc>
          <w:tcPr>
            <w:tcW w:w="944"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kern w:val="0"/>
                <w:szCs w:val="21"/>
              </w:rPr>
            </w:pPr>
            <w:r>
              <w:rPr>
                <w:rFonts w:ascii="宋体" w:hAnsi="宋体" w:eastAsia="宋体"/>
                <w:kern w:val="0"/>
                <w:szCs w:val="21"/>
              </w:rPr>
              <w:t>273.7</w:t>
            </w:r>
          </w:p>
        </w:tc>
        <w:tc>
          <w:tcPr>
            <w:tcW w:w="914"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楷体"/>
                <w:szCs w:val="21"/>
              </w:rPr>
            </w:pPr>
            <w:r>
              <w:rPr>
                <w:rFonts w:ascii="宋体" w:hAnsi="宋体" w:eastAsia="宋体" w:cs="楷体"/>
                <w:szCs w:val="21"/>
              </w:rPr>
              <w:t>600</w:t>
            </w:r>
          </w:p>
        </w:tc>
        <w:tc>
          <w:tcPr>
            <w:tcW w:w="1376"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楷体"/>
                <w:szCs w:val="21"/>
              </w:rPr>
            </w:pPr>
            <w:r>
              <w:rPr>
                <w:rFonts w:ascii="宋体" w:hAnsi="宋体" w:eastAsia="宋体" w:cs="楷体"/>
                <w:szCs w:val="21"/>
              </w:rPr>
              <w:t>17.0%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exact"/>
          <w:jc w:val="center"/>
        </w:trPr>
        <w:tc>
          <w:tcPr>
            <w:tcW w:w="732"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kern w:val="0"/>
                <w:szCs w:val="21"/>
              </w:rPr>
            </w:pPr>
          </w:p>
        </w:tc>
        <w:tc>
          <w:tcPr>
            <w:tcW w:w="4353"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kern w:val="0"/>
                <w:szCs w:val="21"/>
              </w:rPr>
            </w:pPr>
            <w:r>
              <w:rPr>
                <w:rFonts w:hint="eastAsia" w:ascii="宋体" w:hAnsi="宋体" w:eastAsia="宋体"/>
                <w:kern w:val="0"/>
                <w:szCs w:val="21"/>
                <w:lang w:val="en-US" w:eastAsia="zh-CN"/>
              </w:rPr>
              <w:t>3.</w:t>
            </w:r>
            <w:r>
              <w:rPr>
                <w:rFonts w:ascii="宋体" w:hAnsi="宋体" w:eastAsia="宋体"/>
                <w:kern w:val="0"/>
                <w:szCs w:val="21"/>
              </w:rPr>
              <w:t>快递业务量</w:t>
            </w:r>
            <w:r>
              <w:rPr>
                <w:rFonts w:hint="eastAsia" w:ascii="宋体" w:hAnsi="宋体" w:eastAsia="宋体"/>
                <w:kern w:val="0"/>
                <w:szCs w:val="21"/>
                <w:lang w:eastAsia="zh-CN"/>
              </w:rPr>
              <w:t>（</w:t>
            </w:r>
            <w:r>
              <w:rPr>
                <w:rFonts w:ascii="宋体" w:hAnsi="宋体" w:eastAsia="宋体"/>
                <w:kern w:val="0"/>
                <w:szCs w:val="21"/>
              </w:rPr>
              <w:t>亿件</w:t>
            </w:r>
            <w:r>
              <w:rPr>
                <w:rFonts w:hint="eastAsia" w:ascii="宋体" w:hAnsi="宋体" w:eastAsia="宋体"/>
                <w:kern w:val="0"/>
                <w:szCs w:val="21"/>
                <w:lang w:eastAsia="zh-CN"/>
              </w:rPr>
              <w:t>）</w:t>
            </w:r>
          </w:p>
        </w:tc>
        <w:tc>
          <w:tcPr>
            <w:tcW w:w="944"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kern w:val="0"/>
                <w:szCs w:val="21"/>
              </w:rPr>
            </w:pPr>
            <w:r>
              <w:rPr>
                <w:rFonts w:ascii="宋体" w:hAnsi="宋体" w:eastAsia="宋体"/>
                <w:kern w:val="0"/>
                <w:szCs w:val="21"/>
              </w:rPr>
              <w:t>22.0</w:t>
            </w:r>
          </w:p>
        </w:tc>
        <w:tc>
          <w:tcPr>
            <w:tcW w:w="914"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楷体"/>
                <w:szCs w:val="21"/>
              </w:rPr>
            </w:pPr>
            <w:r>
              <w:rPr>
                <w:rFonts w:ascii="宋体" w:hAnsi="宋体" w:eastAsia="宋体" w:cs="楷体"/>
                <w:szCs w:val="21"/>
              </w:rPr>
              <w:t>65</w:t>
            </w:r>
          </w:p>
        </w:tc>
        <w:tc>
          <w:tcPr>
            <w:tcW w:w="1376"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楷体"/>
                <w:szCs w:val="21"/>
              </w:rPr>
            </w:pPr>
            <w:r>
              <w:rPr>
                <w:rFonts w:ascii="宋体" w:hAnsi="宋体" w:eastAsia="宋体" w:cs="楷体"/>
                <w:szCs w:val="21"/>
              </w:rPr>
              <w:t>24.2%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exact"/>
          <w:jc w:val="center"/>
        </w:trPr>
        <w:tc>
          <w:tcPr>
            <w:tcW w:w="732"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kern w:val="0"/>
                <w:szCs w:val="21"/>
              </w:rPr>
            </w:pPr>
          </w:p>
        </w:tc>
        <w:tc>
          <w:tcPr>
            <w:tcW w:w="4353"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kern w:val="0"/>
                <w:szCs w:val="21"/>
              </w:rPr>
            </w:pPr>
            <w:r>
              <w:rPr>
                <w:rFonts w:hint="eastAsia" w:ascii="宋体" w:hAnsi="宋体" w:eastAsia="宋体"/>
                <w:kern w:val="0"/>
                <w:szCs w:val="21"/>
                <w:lang w:val="en-US" w:eastAsia="zh-CN"/>
              </w:rPr>
              <w:t>4.</w:t>
            </w:r>
            <w:r>
              <w:rPr>
                <w:rFonts w:ascii="宋体" w:hAnsi="宋体" w:eastAsia="宋体"/>
                <w:kern w:val="0"/>
                <w:szCs w:val="21"/>
              </w:rPr>
              <w:t>快递业务收入</w:t>
            </w:r>
            <w:r>
              <w:rPr>
                <w:rFonts w:hint="eastAsia" w:ascii="宋体" w:hAnsi="宋体" w:eastAsia="宋体"/>
                <w:kern w:val="0"/>
                <w:szCs w:val="21"/>
                <w:lang w:eastAsia="zh-CN"/>
              </w:rPr>
              <w:t>（</w:t>
            </w:r>
            <w:r>
              <w:rPr>
                <w:rFonts w:ascii="宋体" w:hAnsi="宋体" w:eastAsia="宋体"/>
                <w:kern w:val="0"/>
                <w:szCs w:val="21"/>
              </w:rPr>
              <w:t>亿元</w:t>
            </w:r>
            <w:r>
              <w:rPr>
                <w:rFonts w:hint="eastAsia" w:ascii="宋体" w:hAnsi="宋体" w:eastAsia="宋体"/>
                <w:kern w:val="0"/>
                <w:szCs w:val="21"/>
                <w:lang w:eastAsia="zh-CN"/>
              </w:rPr>
              <w:t>）</w:t>
            </w:r>
          </w:p>
        </w:tc>
        <w:tc>
          <w:tcPr>
            <w:tcW w:w="944"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kern w:val="0"/>
                <w:szCs w:val="21"/>
              </w:rPr>
            </w:pPr>
            <w:r>
              <w:rPr>
                <w:rFonts w:ascii="宋体" w:hAnsi="宋体" w:eastAsia="宋体"/>
                <w:kern w:val="0"/>
                <w:szCs w:val="21"/>
              </w:rPr>
              <w:t>175.0</w:t>
            </w:r>
          </w:p>
        </w:tc>
        <w:tc>
          <w:tcPr>
            <w:tcW w:w="914"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楷体"/>
                <w:szCs w:val="21"/>
              </w:rPr>
            </w:pPr>
            <w:r>
              <w:rPr>
                <w:rFonts w:hint="eastAsia" w:ascii="宋体" w:hAnsi="宋体" w:cs="楷体"/>
                <w:szCs w:val="21"/>
                <w:lang w:val="en-US" w:eastAsia="zh-CN"/>
              </w:rPr>
              <w:t>4</w:t>
            </w:r>
            <w:r>
              <w:rPr>
                <w:rFonts w:ascii="宋体" w:hAnsi="宋体" w:eastAsia="宋体" w:cs="楷体"/>
                <w:szCs w:val="21"/>
              </w:rPr>
              <w:t>50</w:t>
            </w:r>
          </w:p>
        </w:tc>
        <w:tc>
          <w:tcPr>
            <w:tcW w:w="1376"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楷体"/>
                <w:szCs w:val="21"/>
              </w:rPr>
            </w:pPr>
            <w:r>
              <w:rPr>
                <w:rFonts w:ascii="宋体" w:hAnsi="宋体" w:eastAsia="宋体" w:cs="楷体"/>
                <w:szCs w:val="21"/>
              </w:rPr>
              <w:t>2</w:t>
            </w:r>
            <w:r>
              <w:rPr>
                <w:rFonts w:hint="eastAsia" w:ascii="宋体" w:hAnsi="宋体" w:cs="楷体"/>
                <w:szCs w:val="21"/>
                <w:lang w:val="en-US" w:eastAsia="zh-CN"/>
              </w:rPr>
              <w:t>0.8</w:t>
            </w:r>
            <w:r>
              <w:rPr>
                <w:rFonts w:ascii="宋体" w:hAnsi="宋体" w:eastAsia="宋体" w:cs="楷体"/>
                <w:szCs w:val="21"/>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exact"/>
          <w:jc w:val="center"/>
        </w:trPr>
        <w:tc>
          <w:tcPr>
            <w:tcW w:w="732" w:type="dxa"/>
            <w:vMerge w:val="restart"/>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kern w:val="0"/>
                <w:szCs w:val="21"/>
              </w:rPr>
            </w:pPr>
            <w:r>
              <w:rPr>
                <w:rFonts w:hint="eastAsia" w:ascii="宋体" w:hAnsi="宋体" w:eastAsia="宋体"/>
                <w:kern w:val="0"/>
                <w:szCs w:val="21"/>
              </w:rPr>
              <w:t>基础网络</w:t>
            </w:r>
          </w:p>
        </w:tc>
        <w:tc>
          <w:tcPr>
            <w:tcW w:w="4353"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kern w:val="0"/>
                <w:szCs w:val="21"/>
              </w:rPr>
            </w:pPr>
            <w:r>
              <w:rPr>
                <w:rFonts w:hint="eastAsia" w:ascii="宋体" w:hAnsi="宋体" w:eastAsia="宋体"/>
                <w:kern w:val="0"/>
                <w:szCs w:val="21"/>
                <w:lang w:val="en-US" w:eastAsia="zh-CN"/>
              </w:rPr>
              <w:t>5.</w:t>
            </w:r>
            <w:r>
              <w:rPr>
                <w:rFonts w:hint="eastAsia" w:ascii="宋体" w:hAnsi="宋体" w:eastAsia="宋体"/>
                <w:kern w:val="0"/>
                <w:szCs w:val="21"/>
              </w:rPr>
              <w:t>建制村快递服务通达率</w:t>
            </w:r>
            <w:r>
              <w:rPr>
                <w:rFonts w:hint="eastAsia" w:ascii="宋体" w:hAnsi="宋体" w:eastAsia="宋体"/>
                <w:kern w:val="0"/>
                <w:szCs w:val="21"/>
                <w:lang w:eastAsia="zh-CN"/>
              </w:rPr>
              <w:t>（</w:t>
            </w:r>
            <w:r>
              <w:rPr>
                <w:rFonts w:ascii="宋体" w:hAnsi="宋体" w:eastAsia="宋体"/>
                <w:kern w:val="0"/>
                <w:szCs w:val="21"/>
              </w:rPr>
              <w:t>%</w:t>
            </w:r>
            <w:r>
              <w:rPr>
                <w:rFonts w:hint="eastAsia" w:ascii="宋体" w:hAnsi="宋体" w:eastAsia="宋体"/>
                <w:kern w:val="0"/>
                <w:szCs w:val="21"/>
                <w:lang w:eastAsia="zh-CN"/>
              </w:rPr>
              <w:t>）</w:t>
            </w:r>
          </w:p>
        </w:tc>
        <w:tc>
          <w:tcPr>
            <w:tcW w:w="944"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kern w:val="0"/>
                <w:szCs w:val="21"/>
              </w:rPr>
            </w:pPr>
            <w:r>
              <w:rPr>
                <w:rFonts w:ascii="宋体" w:hAnsi="宋体" w:eastAsia="宋体"/>
                <w:kern w:val="0"/>
                <w:szCs w:val="21"/>
              </w:rPr>
              <w:t>68</w:t>
            </w:r>
          </w:p>
        </w:tc>
        <w:tc>
          <w:tcPr>
            <w:tcW w:w="914"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kern w:val="0"/>
                <w:szCs w:val="21"/>
              </w:rPr>
            </w:pPr>
            <w:r>
              <w:rPr>
                <w:rFonts w:ascii="宋体" w:hAnsi="宋体" w:eastAsia="宋体"/>
                <w:kern w:val="0"/>
                <w:szCs w:val="21"/>
              </w:rPr>
              <w:t>100</w:t>
            </w:r>
          </w:p>
        </w:tc>
        <w:tc>
          <w:tcPr>
            <w:tcW w:w="1376"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kern w:val="0"/>
                <w:szCs w:val="21"/>
              </w:rPr>
            </w:pPr>
            <w:r>
              <w:rPr>
                <w:rFonts w:hint="eastAsia" w:ascii="宋体" w:hAnsi="宋体" w:eastAsia="宋体"/>
                <w:kern w:val="0"/>
                <w:szCs w:val="21"/>
              </w:rPr>
              <w:t>[</w:t>
            </w:r>
            <w:r>
              <w:rPr>
                <w:rFonts w:ascii="宋体" w:hAnsi="宋体" w:eastAsia="宋体"/>
                <w:kern w:val="0"/>
                <w:szCs w:val="21"/>
              </w:rPr>
              <w:t>32</w:t>
            </w:r>
            <w:r>
              <w:rPr>
                <w:rFonts w:hint="eastAsia" w:ascii="宋体" w:hAnsi="宋体" w:eastAsia="宋体"/>
                <w:kern w:val="0"/>
                <w:szCs w:val="21"/>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exact"/>
          <w:jc w:val="center"/>
        </w:trPr>
        <w:tc>
          <w:tcPr>
            <w:tcW w:w="732"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kern w:val="0"/>
                <w:szCs w:val="21"/>
                <w:highlight w:val="yellow"/>
              </w:rPr>
            </w:pPr>
          </w:p>
        </w:tc>
        <w:tc>
          <w:tcPr>
            <w:tcW w:w="4353"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kern w:val="0"/>
                <w:szCs w:val="21"/>
              </w:rPr>
            </w:pPr>
            <w:r>
              <w:rPr>
                <w:rFonts w:hint="eastAsia" w:ascii="宋体" w:hAnsi="宋体" w:eastAsia="宋体"/>
                <w:kern w:val="0"/>
                <w:szCs w:val="21"/>
                <w:lang w:val="en-US" w:eastAsia="zh-CN"/>
              </w:rPr>
              <w:t>6.</w:t>
            </w:r>
            <w:r>
              <w:rPr>
                <w:rFonts w:hint="eastAsia" w:ascii="宋体" w:hAnsi="宋体" w:eastAsia="宋体"/>
                <w:kern w:val="0"/>
                <w:szCs w:val="21"/>
              </w:rPr>
              <w:t>国际快递网络</w:t>
            </w:r>
            <w:r>
              <w:rPr>
                <w:rFonts w:ascii="宋体" w:hAnsi="宋体" w:eastAsia="宋体"/>
                <w:kern w:val="0"/>
                <w:szCs w:val="21"/>
              </w:rPr>
              <w:t>通达国家和地区数</w:t>
            </w:r>
            <w:r>
              <w:rPr>
                <w:rFonts w:hint="eastAsia" w:ascii="宋体" w:hAnsi="宋体" w:eastAsia="宋体"/>
                <w:kern w:val="0"/>
                <w:szCs w:val="21"/>
                <w:lang w:eastAsia="zh-CN"/>
              </w:rPr>
              <w:t>（</w:t>
            </w:r>
            <w:r>
              <w:rPr>
                <w:rFonts w:ascii="宋体" w:hAnsi="宋体" w:eastAsia="宋体"/>
                <w:kern w:val="0"/>
                <w:szCs w:val="21"/>
              </w:rPr>
              <w:t>个</w:t>
            </w:r>
            <w:r>
              <w:rPr>
                <w:rFonts w:hint="eastAsia" w:ascii="宋体" w:hAnsi="宋体" w:eastAsia="宋体"/>
                <w:kern w:val="0"/>
                <w:szCs w:val="21"/>
                <w:lang w:eastAsia="zh-CN"/>
              </w:rPr>
              <w:t>）</w:t>
            </w:r>
          </w:p>
        </w:tc>
        <w:tc>
          <w:tcPr>
            <w:tcW w:w="944"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kern w:val="0"/>
                <w:szCs w:val="21"/>
              </w:rPr>
            </w:pPr>
            <w:r>
              <w:rPr>
                <w:rFonts w:ascii="宋体" w:hAnsi="宋体" w:eastAsia="宋体"/>
                <w:kern w:val="0"/>
                <w:szCs w:val="21"/>
              </w:rPr>
              <w:t>16</w:t>
            </w:r>
          </w:p>
        </w:tc>
        <w:tc>
          <w:tcPr>
            <w:tcW w:w="914"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宋体" w:hAnsi="宋体" w:eastAsia="宋体"/>
                <w:kern w:val="0"/>
                <w:szCs w:val="21"/>
                <w:lang w:val="en-US" w:eastAsia="zh-CN"/>
              </w:rPr>
            </w:pPr>
            <w:r>
              <w:rPr>
                <w:rFonts w:hint="eastAsia" w:ascii="宋体" w:hAnsi="宋体"/>
                <w:kern w:val="0"/>
                <w:szCs w:val="21"/>
                <w:lang w:val="en-US" w:eastAsia="zh-CN"/>
              </w:rPr>
              <w:t>25</w:t>
            </w:r>
          </w:p>
        </w:tc>
        <w:tc>
          <w:tcPr>
            <w:tcW w:w="1376"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kern w:val="0"/>
                <w:szCs w:val="21"/>
                <w:highlight w:val="yellow"/>
              </w:rPr>
            </w:pPr>
            <w:r>
              <w:rPr>
                <w:rFonts w:hint="eastAsia" w:ascii="宋体" w:hAnsi="宋体" w:eastAsia="宋体"/>
                <w:kern w:val="0"/>
                <w:szCs w:val="21"/>
              </w:rPr>
              <w:t>[</w:t>
            </w:r>
            <w:r>
              <w:rPr>
                <w:rFonts w:hint="eastAsia" w:ascii="宋体" w:hAnsi="宋体"/>
                <w:kern w:val="0"/>
                <w:szCs w:val="21"/>
                <w:lang w:val="en-US" w:eastAsia="zh-CN"/>
              </w:rPr>
              <w:t>9</w:t>
            </w:r>
            <w:r>
              <w:rPr>
                <w:rFonts w:hint="eastAsia" w:ascii="宋体" w:hAnsi="宋体" w:eastAsia="宋体"/>
                <w:kern w:val="0"/>
                <w:szCs w:val="21"/>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exact"/>
          <w:jc w:val="center"/>
        </w:trPr>
        <w:tc>
          <w:tcPr>
            <w:tcW w:w="732" w:type="dxa"/>
            <w:vMerge w:val="restart"/>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kern w:val="0"/>
                <w:szCs w:val="21"/>
              </w:rPr>
            </w:pPr>
            <w:r>
              <w:rPr>
                <w:rFonts w:hint="eastAsia" w:ascii="宋体" w:hAnsi="宋体" w:eastAsia="宋体"/>
                <w:kern w:val="0"/>
                <w:szCs w:val="21"/>
              </w:rPr>
              <w:t>服务</w:t>
            </w:r>
            <w:r>
              <w:rPr>
                <w:rFonts w:ascii="宋体" w:hAnsi="宋体" w:eastAsia="宋体"/>
                <w:kern w:val="0"/>
                <w:szCs w:val="21"/>
              </w:rPr>
              <w:t>能力</w:t>
            </w:r>
          </w:p>
        </w:tc>
        <w:tc>
          <w:tcPr>
            <w:tcW w:w="4353"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kern w:val="0"/>
                <w:szCs w:val="21"/>
              </w:rPr>
            </w:pPr>
            <w:r>
              <w:rPr>
                <w:rFonts w:hint="eastAsia" w:ascii="宋体" w:hAnsi="宋体" w:eastAsia="宋体"/>
                <w:kern w:val="0"/>
                <w:szCs w:val="21"/>
                <w:lang w:val="en-US" w:eastAsia="zh-CN"/>
              </w:rPr>
              <w:t>7.</w:t>
            </w:r>
            <w:r>
              <w:rPr>
                <w:rFonts w:ascii="宋体" w:hAnsi="宋体" w:eastAsia="宋体"/>
                <w:kern w:val="0"/>
                <w:szCs w:val="21"/>
              </w:rPr>
              <w:t>智能快件箱</w:t>
            </w:r>
            <w:r>
              <w:rPr>
                <w:rFonts w:hint="eastAsia" w:ascii="宋体" w:hAnsi="宋体" w:eastAsia="宋体"/>
                <w:kern w:val="0"/>
                <w:szCs w:val="21"/>
                <w:lang w:eastAsia="zh-CN"/>
              </w:rPr>
              <w:t>（</w:t>
            </w:r>
            <w:r>
              <w:rPr>
                <w:rFonts w:hint="eastAsia" w:ascii="宋体" w:hAnsi="宋体" w:eastAsia="宋体"/>
                <w:kern w:val="0"/>
                <w:szCs w:val="21"/>
              </w:rPr>
              <w:t>万组</w:t>
            </w:r>
            <w:r>
              <w:rPr>
                <w:rFonts w:hint="eastAsia" w:ascii="宋体" w:hAnsi="宋体" w:eastAsia="宋体"/>
                <w:kern w:val="0"/>
                <w:szCs w:val="21"/>
                <w:lang w:eastAsia="zh-CN"/>
              </w:rPr>
              <w:t>）</w:t>
            </w:r>
          </w:p>
        </w:tc>
        <w:tc>
          <w:tcPr>
            <w:tcW w:w="944"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kern w:val="0"/>
                <w:szCs w:val="21"/>
              </w:rPr>
            </w:pPr>
            <w:r>
              <w:rPr>
                <w:rFonts w:ascii="宋体" w:hAnsi="宋体" w:eastAsia="宋体"/>
                <w:kern w:val="0"/>
                <w:szCs w:val="21"/>
              </w:rPr>
              <w:t>1.2</w:t>
            </w:r>
          </w:p>
        </w:tc>
        <w:tc>
          <w:tcPr>
            <w:tcW w:w="914"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kern w:val="0"/>
                <w:szCs w:val="21"/>
              </w:rPr>
            </w:pPr>
            <w:r>
              <w:rPr>
                <w:rFonts w:hint="eastAsia" w:ascii="宋体" w:hAnsi="宋体" w:eastAsia="宋体"/>
                <w:kern w:val="0"/>
                <w:szCs w:val="21"/>
              </w:rPr>
              <w:t>1.6</w:t>
            </w:r>
          </w:p>
        </w:tc>
        <w:tc>
          <w:tcPr>
            <w:tcW w:w="1376"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kern w:val="0"/>
                <w:szCs w:val="21"/>
              </w:rPr>
            </w:pPr>
            <w:r>
              <w:rPr>
                <w:rFonts w:hint="eastAsia" w:ascii="宋体" w:hAnsi="宋体" w:eastAsia="宋体"/>
                <w:kern w:val="0"/>
                <w:szCs w:val="21"/>
              </w:rPr>
              <w:t>[0.4]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exact"/>
          <w:jc w:val="center"/>
        </w:trPr>
        <w:tc>
          <w:tcPr>
            <w:tcW w:w="732"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kern w:val="0"/>
                <w:szCs w:val="21"/>
              </w:rPr>
            </w:pPr>
          </w:p>
        </w:tc>
        <w:tc>
          <w:tcPr>
            <w:tcW w:w="4353"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kern w:val="0"/>
                <w:szCs w:val="21"/>
              </w:rPr>
            </w:pPr>
            <w:r>
              <w:rPr>
                <w:rFonts w:hint="eastAsia" w:ascii="宋体" w:hAnsi="宋体" w:eastAsia="宋体"/>
                <w:kern w:val="0"/>
                <w:szCs w:val="21"/>
                <w:lang w:val="en-US" w:eastAsia="zh-CN"/>
              </w:rPr>
              <w:t>8.</w:t>
            </w:r>
            <w:r>
              <w:rPr>
                <w:rFonts w:ascii="宋体" w:hAnsi="宋体" w:eastAsia="宋体"/>
                <w:kern w:val="0"/>
                <w:szCs w:val="21"/>
              </w:rPr>
              <w:t>智能快件箱投递率</w:t>
            </w:r>
            <w:r>
              <w:rPr>
                <w:rFonts w:hint="eastAsia" w:ascii="宋体" w:hAnsi="宋体" w:eastAsia="宋体"/>
                <w:kern w:val="0"/>
                <w:szCs w:val="21"/>
                <w:lang w:eastAsia="zh-CN"/>
              </w:rPr>
              <w:t>（</w:t>
            </w:r>
            <w:r>
              <w:rPr>
                <w:rFonts w:ascii="宋体" w:hAnsi="宋体" w:eastAsia="宋体"/>
                <w:kern w:val="0"/>
                <w:szCs w:val="21"/>
              </w:rPr>
              <w:t>%</w:t>
            </w:r>
            <w:r>
              <w:rPr>
                <w:rFonts w:hint="eastAsia" w:ascii="宋体" w:hAnsi="宋体" w:eastAsia="宋体"/>
                <w:kern w:val="0"/>
                <w:szCs w:val="21"/>
                <w:lang w:eastAsia="zh-CN"/>
              </w:rPr>
              <w:t>）</w:t>
            </w:r>
          </w:p>
        </w:tc>
        <w:tc>
          <w:tcPr>
            <w:tcW w:w="944"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kern w:val="0"/>
                <w:szCs w:val="21"/>
              </w:rPr>
            </w:pPr>
            <w:r>
              <w:rPr>
                <w:rFonts w:ascii="宋体" w:hAnsi="宋体" w:eastAsia="宋体"/>
                <w:kern w:val="0"/>
                <w:szCs w:val="21"/>
              </w:rPr>
              <w:t>9.2</w:t>
            </w:r>
          </w:p>
        </w:tc>
        <w:tc>
          <w:tcPr>
            <w:tcW w:w="914"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kern w:val="0"/>
                <w:szCs w:val="21"/>
              </w:rPr>
            </w:pPr>
            <w:r>
              <w:rPr>
                <w:rFonts w:ascii="宋体" w:hAnsi="宋体" w:eastAsia="宋体"/>
                <w:kern w:val="0"/>
                <w:szCs w:val="21"/>
              </w:rPr>
              <w:t>12</w:t>
            </w:r>
          </w:p>
        </w:tc>
        <w:tc>
          <w:tcPr>
            <w:tcW w:w="1376"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kern w:val="0"/>
                <w:szCs w:val="21"/>
              </w:rPr>
            </w:pPr>
            <w:r>
              <w:rPr>
                <w:rFonts w:hint="eastAsia" w:ascii="宋体" w:hAnsi="宋体" w:eastAsia="宋体"/>
                <w:kern w:val="0"/>
                <w:szCs w:val="21"/>
              </w:rPr>
              <w:t>[</w:t>
            </w:r>
            <w:r>
              <w:rPr>
                <w:rFonts w:ascii="宋体" w:hAnsi="宋体" w:eastAsia="宋体"/>
                <w:kern w:val="0"/>
                <w:szCs w:val="21"/>
              </w:rPr>
              <w:t>2.8</w:t>
            </w:r>
            <w:r>
              <w:rPr>
                <w:rFonts w:hint="eastAsia" w:ascii="宋体" w:hAnsi="宋体" w:eastAsia="宋体"/>
                <w:kern w:val="0"/>
                <w:szCs w:val="21"/>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exact"/>
          <w:jc w:val="center"/>
        </w:trPr>
        <w:tc>
          <w:tcPr>
            <w:tcW w:w="732"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kern w:val="0"/>
                <w:szCs w:val="21"/>
              </w:rPr>
            </w:pPr>
          </w:p>
        </w:tc>
        <w:tc>
          <w:tcPr>
            <w:tcW w:w="4353"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kern w:val="0"/>
                <w:szCs w:val="21"/>
              </w:rPr>
            </w:pPr>
            <w:r>
              <w:rPr>
                <w:rFonts w:hint="eastAsia" w:ascii="宋体" w:hAnsi="宋体" w:eastAsia="宋体"/>
                <w:kern w:val="0"/>
                <w:szCs w:val="21"/>
                <w:lang w:val="en-US" w:eastAsia="zh-CN"/>
              </w:rPr>
              <w:t>9.</w:t>
            </w:r>
            <w:r>
              <w:rPr>
                <w:rFonts w:hint="eastAsia" w:ascii="宋体" w:hAnsi="宋体" w:eastAsia="宋体"/>
                <w:kern w:val="0"/>
                <w:szCs w:val="21"/>
              </w:rPr>
              <w:t>城市</w:t>
            </w:r>
            <w:r>
              <w:rPr>
                <w:rFonts w:ascii="宋体" w:hAnsi="宋体" w:eastAsia="宋体"/>
                <w:kern w:val="0"/>
                <w:szCs w:val="21"/>
              </w:rPr>
              <w:t>公共服务站</w:t>
            </w:r>
            <w:r>
              <w:rPr>
                <w:rFonts w:hint="eastAsia" w:ascii="宋体" w:hAnsi="宋体" w:eastAsia="宋体"/>
                <w:kern w:val="0"/>
                <w:szCs w:val="21"/>
                <w:lang w:eastAsia="zh-CN"/>
              </w:rPr>
              <w:t>（</w:t>
            </w:r>
            <w:r>
              <w:rPr>
                <w:rFonts w:ascii="宋体" w:hAnsi="宋体" w:eastAsia="宋体"/>
                <w:kern w:val="0"/>
                <w:szCs w:val="21"/>
              </w:rPr>
              <w:t>个</w:t>
            </w:r>
            <w:r>
              <w:rPr>
                <w:rFonts w:hint="eastAsia" w:ascii="宋体" w:hAnsi="宋体" w:eastAsia="宋体"/>
                <w:kern w:val="0"/>
                <w:szCs w:val="21"/>
                <w:lang w:eastAsia="zh-CN"/>
              </w:rPr>
              <w:t>）</w:t>
            </w:r>
          </w:p>
        </w:tc>
        <w:tc>
          <w:tcPr>
            <w:tcW w:w="944"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kern w:val="0"/>
                <w:szCs w:val="21"/>
              </w:rPr>
            </w:pPr>
            <w:r>
              <w:rPr>
                <w:rFonts w:ascii="宋体" w:hAnsi="宋体" w:eastAsia="宋体"/>
                <w:kern w:val="0"/>
                <w:szCs w:val="21"/>
              </w:rPr>
              <w:t>2400</w:t>
            </w:r>
          </w:p>
        </w:tc>
        <w:tc>
          <w:tcPr>
            <w:tcW w:w="914"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kern w:val="0"/>
                <w:szCs w:val="21"/>
              </w:rPr>
            </w:pPr>
            <w:r>
              <w:rPr>
                <w:rFonts w:ascii="宋体" w:hAnsi="宋体" w:eastAsia="宋体"/>
                <w:kern w:val="0"/>
                <w:szCs w:val="21"/>
              </w:rPr>
              <w:t>6000</w:t>
            </w:r>
          </w:p>
        </w:tc>
        <w:tc>
          <w:tcPr>
            <w:tcW w:w="1376"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kern w:val="0"/>
                <w:szCs w:val="21"/>
              </w:rPr>
            </w:pPr>
            <w:r>
              <w:rPr>
                <w:rFonts w:hint="eastAsia" w:ascii="宋体" w:hAnsi="宋体" w:eastAsia="宋体"/>
                <w:kern w:val="0"/>
                <w:szCs w:val="21"/>
              </w:rPr>
              <w:t>[</w:t>
            </w:r>
            <w:r>
              <w:rPr>
                <w:rFonts w:ascii="宋体" w:hAnsi="宋体" w:eastAsia="宋体"/>
                <w:kern w:val="0"/>
                <w:szCs w:val="21"/>
              </w:rPr>
              <w:t>3600</w:t>
            </w:r>
            <w:r>
              <w:rPr>
                <w:rFonts w:hint="eastAsia" w:ascii="宋体" w:hAnsi="宋体" w:eastAsia="宋体"/>
                <w:kern w:val="0"/>
                <w:szCs w:val="21"/>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exact"/>
          <w:jc w:val="center"/>
        </w:trPr>
        <w:tc>
          <w:tcPr>
            <w:tcW w:w="732"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kern w:val="0"/>
                <w:szCs w:val="21"/>
              </w:rPr>
            </w:pPr>
          </w:p>
        </w:tc>
        <w:tc>
          <w:tcPr>
            <w:tcW w:w="4353"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kern w:val="0"/>
                <w:szCs w:val="21"/>
              </w:rPr>
            </w:pPr>
            <w:r>
              <w:rPr>
                <w:rFonts w:hint="eastAsia" w:ascii="宋体" w:hAnsi="宋体" w:eastAsia="宋体"/>
                <w:kern w:val="0"/>
                <w:szCs w:val="21"/>
                <w:lang w:val="en-US" w:eastAsia="zh-CN"/>
              </w:rPr>
              <w:t>10.</w:t>
            </w:r>
            <w:r>
              <w:rPr>
                <w:rFonts w:hint="eastAsia" w:ascii="宋体" w:hAnsi="宋体" w:eastAsia="宋体"/>
                <w:kern w:val="0"/>
                <w:szCs w:val="21"/>
              </w:rPr>
              <w:t>村级</w:t>
            </w:r>
            <w:r>
              <w:rPr>
                <w:rFonts w:ascii="宋体" w:hAnsi="宋体" w:eastAsia="宋体"/>
                <w:kern w:val="0"/>
                <w:szCs w:val="21"/>
              </w:rPr>
              <w:t>寄递物流综合服务站</w:t>
            </w:r>
            <w:r>
              <w:rPr>
                <w:rFonts w:hint="eastAsia" w:ascii="宋体" w:hAnsi="宋体" w:eastAsia="宋体"/>
                <w:kern w:val="0"/>
                <w:szCs w:val="21"/>
                <w:lang w:eastAsia="zh-CN"/>
              </w:rPr>
              <w:t>（</w:t>
            </w:r>
            <w:r>
              <w:rPr>
                <w:rFonts w:hint="eastAsia" w:ascii="宋体" w:hAnsi="宋体"/>
                <w:kern w:val="0"/>
                <w:szCs w:val="21"/>
                <w:lang w:eastAsia="zh-CN"/>
              </w:rPr>
              <w:t>个</w:t>
            </w:r>
            <w:r>
              <w:rPr>
                <w:rFonts w:hint="eastAsia" w:ascii="宋体" w:hAnsi="宋体" w:eastAsia="宋体"/>
                <w:kern w:val="0"/>
                <w:szCs w:val="21"/>
                <w:lang w:eastAsia="zh-CN"/>
              </w:rPr>
              <w:t>）</w:t>
            </w:r>
          </w:p>
        </w:tc>
        <w:tc>
          <w:tcPr>
            <w:tcW w:w="944"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kern w:val="0"/>
                <w:szCs w:val="21"/>
                <w:highlight w:val="yellow"/>
              </w:rPr>
            </w:pPr>
            <w:r>
              <w:rPr>
                <w:rFonts w:ascii="宋体" w:hAnsi="宋体" w:eastAsia="宋体"/>
                <w:kern w:val="0"/>
                <w:szCs w:val="21"/>
              </w:rPr>
              <w:t>—</w:t>
            </w:r>
          </w:p>
        </w:tc>
        <w:tc>
          <w:tcPr>
            <w:tcW w:w="914"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kern w:val="0"/>
                <w:szCs w:val="21"/>
              </w:rPr>
            </w:pPr>
            <w:r>
              <w:rPr>
                <w:rFonts w:hint="eastAsia" w:ascii="宋体" w:hAnsi="宋体"/>
                <w:kern w:val="0"/>
                <w:szCs w:val="21"/>
                <w:lang w:val="en-US" w:eastAsia="zh-CN"/>
              </w:rPr>
              <w:t>80</w:t>
            </w:r>
            <w:r>
              <w:rPr>
                <w:rFonts w:ascii="宋体" w:hAnsi="宋体" w:eastAsia="宋体"/>
                <w:kern w:val="0"/>
                <w:szCs w:val="21"/>
              </w:rPr>
              <w:t>00</w:t>
            </w:r>
          </w:p>
        </w:tc>
        <w:tc>
          <w:tcPr>
            <w:tcW w:w="1376"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kern w:val="0"/>
                <w:szCs w:val="21"/>
                <w:highlight w:val="yellow"/>
              </w:rPr>
            </w:pPr>
            <w:r>
              <w:rPr>
                <w:rFonts w:hint="eastAsia" w:ascii="宋体" w:hAnsi="宋体" w:eastAsia="宋体"/>
                <w:kern w:val="0"/>
                <w:szCs w:val="21"/>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exact"/>
          <w:jc w:val="center"/>
        </w:trPr>
        <w:tc>
          <w:tcPr>
            <w:tcW w:w="732" w:type="dxa"/>
            <w:vMerge w:val="restart"/>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kern w:val="0"/>
                <w:szCs w:val="21"/>
              </w:rPr>
            </w:pPr>
            <w:r>
              <w:rPr>
                <w:rFonts w:ascii="宋体" w:hAnsi="宋体" w:eastAsia="宋体"/>
                <w:kern w:val="0"/>
                <w:szCs w:val="21"/>
              </w:rPr>
              <w:t>服务品质</w:t>
            </w:r>
          </w:p>
        </w:tc>
        <w:tc>
          <w:tcPr>
            <w:tcW w:w="4353"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ascii="宋体" w:hAnsi="宋体" w:eastAsia="宋体"/>
                <w:kern w:val="0"/>
                <w:szCs w:val="21"/>
              </w:rPr>
            </w:pPr>
            <w:r>
              <w:rPr>
                <w:rFonts w:hint="eastAsia" w:ascii="宋体" w:hAnsi="宋体" w:eastAsia="宋体"/>
                <w:kern w:val="0"/>
                <w:szCs w:val="21"/>
                <w:lang w:val="en-US" w:eastAsia="zh-CN"/>
              </w:rPr>
              <w:t>11.</w:t>
            </w:r>
            <w:r>
              <w:rPr>
                <w:rFonts w:ascii="宋体" w:hAnsi="宋体" w:eastAsia="宋体"/>
                <w:kern w:val="0"/>
                <w:szCs w:val="21"/>
              </w:rPr>
              <w:t>邮政普遍服务满意度</w:t>
            </w:r>
            <w:r>
              <w:rPr>
                <w:rFonts w:hint="eastAsia" w:ascii="宋体" w:hAnsi="宋体" w:eastAsia="宋体"/>
                <w:kern w:val="0"/>
                <w:szCs w:val="21"/>
                <w:lang w:eastAsia="zh-CN"/>
              </w:rPr>
              <w:t>（</w:t>
            </w:r>
            <w:r>
              <w:rPr>
                <w:rFonts w:ascii="宋体" w:hAnsi="宋体" w:eastAsia="宋体"/>
                <w:kern w:val="0"/>
                <w:szCs w:val="21"/>
              </w:rPr>
              <w:t>分</w:t>
            </w:r>
            <w:r>
              <w:rPr>
                <w:rFonts w:hint="eastAsia" w:ascii="宋体" w:hAnsi="宋体" w:eastAsia="宋体"/>
                <w:kern w:val="0"/>
                <w:szCs w:val="21"/>
                <w:lang w:eastAsia="zh-CN"/>
              </w:rPr>
              <w:t>）</w:t>
            </w:r>
          </w:p>
        </w:tc>
        <w:tc>
          <w:tcPr>
            <w:tcW w:w="944"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kern w:val="0"/>
                <w:szCs w:val="21"/>
              </w:rPr>
            </w:pPr>
            <w:r>
              <w:rPr>
                <w:rFonts w:ascii="宋体" w:hAnsi="宋体" w:eastAsia="宋体"/>
                <w:kern w:val="0"/>
                <w:szCs w:val="21"/>
              </w:rPr>
              <w:t>85</w:t>
            </w:r>
          </w:p>
        </w:tc>
        <w:tc>
          <w:tcPr>
            <w:tcW w:w="914"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宋体" w:hAnsi="宋体" w:eastAsia="宋体"/>
                <w:kern w:val="0"/>
                <w:szCs w:val="21"/>
                <w:lang w:val="en-US" w:eastAsia="zh-CN"/>
              </w:rPr>
            </w:pPr>
            <w:r>
              <w:rPr>
                <w:rFonts w:hint="default" w:ascii="宋体" w:hAnsi="宋体" w:eastAsia="宋体"/>
                <w:kern w:val="0"/>
                <w:szCs w:val="21"/>
              </w:rPr>
              <w:t>8</w:t>
            </w:r>
            <w:r>
              <w:rPr>
                <w:rFonts w:hint="eastAsia" w:ascii="宋体" w:hAnsi="宋体"/>
                <w:kern w:val="0"/>
                <w:szCs w:val="21"/>
                <w:lang w:val="en-US" w:eastAsia="zh-CN"/>
              </w:rPr>
              <w:t>6</w:t>
            </w:r>
          </w:p>
        </w:tc>
        <w:tc>
          <w:tcPr>
            <w:tcW w:w="1376"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kern w:val="0"/>
                <w:szCs w:val="21"/>
              </w:rPr>
            </w:pPr>
            <w:r>
              <w:rPr>
                <w:rFonts w:hint="default" w:ascii="宋体" w:hAnsi="宋体" w:eastAsia="宋体"/>
                <w:kern w:val="0"/>
                <w:szCs w:val="21"/>
              </w:rPr>
              <w:t>[</w:t>
            </w:r>
            <w:r>
              <w:rPr>
                <w:rFonts w:hint="eastAsia" w:ascii="宋体" w:hAnsi="宋体"/>
                <w:kern w:val="0"/>
                <w:szCs w:val="21"/>
                <w:lang w:val="en-US" w:eastAsia="zh-CN"/>
              </w:rPr>
              <w:t>1</w:t>
            </w:r>
            <w:r>
              <w:rPr>
                <w:rFonts w:hint="default" w:ascii="宋体" w:hAnsi="宋体" w:eastAsia="宋体"/>
                <w:kern w:val="0"/>
                <w:szCs w:val="21"/>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exact"/>
          <w:jc w:val="center"/>
        </w:trPr>
        <w:tc>
          <w:tcPr>
            <w:tcW w:w="732"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kern w:val="0"/>
                <w:szCs w:val="21"/>
              </w:rPr>
            </w:pPr>
          </w:p>
        </w:tc>
        <w:tc>
          <w:tcPr>
            <w:tcW w:w="4353"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kern w:val="0"/>
                <w:szCs w:val="21"/>
              </w:rPr>
            </w:pPr>
            <w:r>
              <w:rPr>
                <w:rFonts w:hint="eastAsia" w:ascii="宋体" w:hAnsi="宋体" w:eastAsia="宋体"/>
                <w:kern w:val="0"/>
                <w:szCs w:val="21"/>
                <w:lang w:val="en-US" w:eastAsia="zh-CN"/>
              </w:rPr>
              <w:t>12.</w:t>
            </w:r>
            <w:r>
              <w:rPr>
                <w:rFonts w:hint="eastAsia" w:ascii="宋体" w:hAnsi="宋体" w:eastAsia="宋体"/>
                <w:kern w:val="0"/>
                <w:szCs w:val="21"/>
              </w:rPr>
              <w:t>省内</w:t>
            </w:r>
            <w:r>
              <w:rPr>
                <w:rFonts w:ascii="宋体" w:hAnsi="宋体" w:eastAsia="宋体"/>
                <w:kern w:val="0"/>
                <w:szCs w:val="21"/>
              </w:rPr>
              <w:t>重点城市快递服务满意度</w:t>
            </w:r>
            <w:r>
              <w:rPr>
                <w:rFonts w:hint="eastAsia" w:ascii="宋体" w:hAnsi="宋体" w:eastAsia="宋体"/>
                <w:kern w:val="0"/>
                <w:szCs w:val="21"/>
                <w:lang w:eastAsia="zh-CN"/>
              </w:rPr>
              <w:t>（</w:t>
            </w:r>
            <w:r>
              <w:rPr>
                <w:rFonts w:ascii="宋体" w:hAnsi="宋体" w:eastAsia="宋体"/>
                <w:kern w:val="0"/>
                <w:szCs w:val="21"/>
              </w:rPr>
              <w:t>分</w:t>
            </w:r>
            <w:r>
              <w:rPr>
                <w:rFonts w:hint="eastAsia" w:ascii="宋体" w:hAnsi="宋体" w:eastAsia="宋体"/>
                <w:kern w:val="0"/>
                <w:szCs w:val="21"/>
                <w:lang w:eastAsia="zh-CN"/>
              </w:rPr>
              <w:t>）</w:t>
            </w:r>
          </w:p>
        </w:tc>
        <w:tc>
          <w:tcPr>
            <w:tcW w:w="944"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kern w:val="0"/>
                <w:szCs w:val="21"/>
              </w:rPr>
            </w:pPr>
            <w:r>
              <w:rPr>
                <w:rFonts w:hint="eastAsia" w:ascii="宋体" w:hAnsi="宋体" w:eastAsia="宋体"/>
                <w:color w:val="000000" w:themeColor="text1"/>
                <w:kern w:val="0"/>
                <w:szCs w:val="21"/>
                <w14:textFill>
                  <w14:solidFill>
                    <w14:schemeClr w14:val="tx1"/>
                  </w14:solidFill>
                </w14:textFill>
              </w:rPr>
              <w:t>85.7</w:t>
            </w:r>
          </w:p>
        </w:tc>
        <w:tc>
          <w:tcPr>
            <w:tcW w:w="914"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kern w:val="0"/>
                <w:szCs w:val="21"/>
              </w:rPr>
            </w:pPr>
            <w:r>
              <w:rPr>
                <w:rFonts w:hint="eastAsia" w:ascii="宋体" w:hAnsi="宋体" w:eastAsia="宋体"/>
                <w:color w:val="000000" w:themeColor="text1"/>
                <w:kern w:val="0"/>
                <w:szCs w:val="21"/>
                <w14:textFill>
                  <w14:solidFill>
                    <w14:schemeClr w14:val="tx1"/>
                  </w14:solidFill>
                </w14:textFill>
              </w:rPr>
              <w:t>87</w:t>
            </w:r>
          </w:p>
        </w:tc>
        <w:tc>
          <w:tcPr>
            <w:tcW w:w="1376"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kern w:val="0"/>
                <w:szCs w:val="21"/>
              </w:rPr>
            </w:pPr>
            <w:r>
              <w:rPr>
                <w:rFonts w:hint="eastAsia" w:ascii="宋体" w:hAnsi="宋体" w:eastAsia="宋体"/>
                <w:kern w:val="0"/>
                <w:szCs w:val="21"/>
              </w:rPr>
              <w:t>[</w:t>
            </w:r>
            <w:r>
              <w:rPr>
                <w:rFonts w:hint="eastAsia" w:ascii="宋体" w:hAnsi="宋体" w:eastAsia="宋体"/>
                <w:color w:val="000000" w:themeColor="text1"/>
                <w:kern w:val="0"/>
                <w:szCs w:val="21"/>
                <w14:textFill>
                  <w14:solidFill>
                    <w14:schemeClr w14:val="tx1"/>
                  </w14:solidFill>
                </w14:textFill>
              </w:rPr>
              <w:t>1.3</w:t>
            </w:r>
            <w:r>
              <w:rPr>
                <w:rFonts w:hint="eastAsia" w:ascii="宋体" w:hAnsi="宋体" w:eastAsia="宋体"/>
                <w:kern w:val="0"/>
                <w:szCs w:val="21"/>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exact"/>
          <w:jc w:val="center"/>
        </w:trPr>
        <w:tc>
          <w:tcPr>
            <w:tcW w:w="732"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eastAsia="宋体"/>
                <w:kern w:val="0"/>
                <w:szCs w:val="21"/>
              </w:rPr>
            </w:pPr>
          </w:p>
        </w:tc>
        <w:tc>
          <w:tcPr>
            <w:tcW w:w="4353"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kern w:val="0"/>
                <w:szCs w:val="21"/>
              </w:rPr>
            </w:pPr>
            <w:r>
              <w:rPr>
                <w:rFonts w:hint="eastAsia" w:ascii="宋体" w:hAnsi="宋体" w:eastAsia="宋体"/>
                <w:kern w:val="0"/>
                <w:szCs w:val="21"/>
                <w:lang w:val="en-US" w:eastAsia="zh-CN"/>
              </w:rPr>
              <w:t>13.</w:t>
            </w:r>
            <w:r>
              <w:rPr>
                <w:rFonts w:hint="eastAsia" w:ascii="宋体" w:hAnsi="宋体" w:eastAsia="宋体"/>
                <w:kern w:val="0"/>
                <w:szCs w:val="21"/>
              </w:rPr>
              <w:t>邮政快递服务申诉率</w:t>
            </w:r>
            <w:r>
              <w:rPr>
                <w:rFonts w:hint="eastAsia" w:ascii="宋体" w:hAnsi="宋体" w:eastAsia="宋体"/>
                <w:kern w:val="0"/>
                <w:szCs w:val="21"/>
                <w:lang w:eastAsia="zh-CN"/>
              </w:rPr>
              <w:t>（</w:t>
            </w:r>
            <w:r>
              <w:rPr>
                <w:rFonts w:hint="eastAsia" w:ascii="宋体" w:hAnsi="宋体" w:eastAsia="宋体"/>
                <w:kern w:val="0"/>
                <w:szCs w:val="21"/>
              </w:rPr>
              <w:t>百万分之</w:t>
            </w:r>
            <w:r>
              <w:rPr>
                <w:rFonts w:hint="eastAsia" w:ascii="宋体" w:hAnsi="宋体" w:eastAsia="宋体"/>
                <w:kern w:val="0"/>
                <w:szCs w:val="21"/>
                <w:lang w:eastAsia="zh-CN"/>
              </w:rPr>
              <w:t>）</w:t>
            </w:r>
          </w:p>
        </w:tc>
        <w:tc>
          <w:tcPr>
            <w:tcW w:w="944"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kern w:val="0"/>
                <w:szCs w:val="21"/>
              </w:rPr>
            </w:pPr>
            <w:r>
              <w:rPr>
                <w:rFonts w:ascii="宋体" w:hAnsi="宋体" w:eastAsia="宋体"/>
                <w:kern w:val="0"/>
                <w:szCs w:val="21"/>
                <w:highlight w:val="none"/>
              </w:rPr>
              <w:t>1.06</w:t>
            </w:r>
          </w:p>
        </w:tc>
        <w:tc>
          <w:tcPr>
            <w:tcW w:w="914"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kern w:val="0"/>
                <w:szCs w:val="21"/>
              </w:rPr>
            </w:pPr>
            <w:r>
              <w:rPr>
                <w:rFonts w:ascii="宋体" w:hAnsi="宋体" w:eastAsia="宋体"/>
                <w:kern w:val="0"/>
                <w:szCs w:val="21"/>
              </w:rPr>
              <w:t>1</w:t>
            </w:r>
          </w:p>
        </w:tc>
        <w:tc>
          <w:tcPr>
            <w:tcW w:w="1376"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kern w:val="0"/>
                <w:szCs w:val="21"/>
                <w:highlight w:val="none"/>
              </w:rPr>
            </w:pPr>
            <w:r>
              <w:rPr>
                <w:rFonts w:ascii="宋体" w:hAnsi="宋体" w:eastAsia="宋体"/>
                <w:kern w:val="0"/>
                <w:szCs w:val="21"/>
              </w:rPr>
              <w:t>[-0.</w:t>
            </w:r>
            <w:r>
              <w:rPr>
                <w:rFonts w:ascii="宋体" w:hAnsi="宋体" w:eastAsia="宋体"/>
                <w:kern w:val="0"/>
                <w:szCs w:val="21"/>
                <w:highlight w:val="none"/>
              </w:rPr>
              <w:t>06</w:t>
            </w:r>
            <w:r>
              <w:rPr>
                <w:rFonts w:hint="eastAsia" w:ascii="宋体" w:hAnsi="宋体" w:eastAsia="宋体"/>
                <w:kern w:val="0"/>
                <w:szCs w:val="21"/>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exact"/>
          <w:jc w:val="center"/>
        </w:trPr>
        <w:tc>
          <w:tcPr>
            <w:tcW w:w="732" w:type="dxa"/>
            <w:vMerge w:val="restart"/>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kern w:val="0"/>
                <w:szCs w:val="21"/>
              </w:rPr>
            </w:pPr>
            <w:r>
              <w:rPr>
                <w:rFonts w:hint="eastAsia" w:ascii="宋体" w:hAnsi="宋体" w:eastAsia="宋体"/>
                <w:kern w:val="0"/>
                <w:szCs w:val="21"/>
              </w:rPr>
              <w:t>安全绿色</w:t>
            </w:r>
          </w:p>
        </w:tc>
        <w:tc>
          <w:tcPr>
            <w:tcW w:w="4353"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kern w:val="0"/>
                <w:szCs w:val="21"/>
              </w:rPr>
            </w:pPr>
            <w:r>
              <w:rPr>
                <w:rFonts w:hint="eastAsia" w:ascii="宋体" w:hAnsi="宋体" w:eastAsia="宋体"/>
                <w:kern w:val="0"/>
                <w:szCs w:val="21"/>
                <w:highlight w:val="none"/>
                <w:lang w:val="en-US" w:eastAsia="zh-CN"/>
              </w:rPr>
              <w:t>14.</w:t>
            </w:r>
            <w:r>
              <w:rPr>
                <w:rFonts w:hint="eastAsia" w:ascii="宋体" w:hAnsi="宋体" w:eastAsia="宋体"/>
                <w:kern w:val="0"/>
                <w:szCs w:val="21"/>
                <w:highlight w:val="none"/>
              </w:rPr>
              <w:t>邮件快件</w:t>
            </w:r>
            <w:r>
              <w:rPr>
                <w:rFonts w:ascii="宋体" w:hAnsi="宋体" w:eastAsia="宋体"/>
                <w:kern w:val="0"/>
                <w:szCs w:val="21"/>
                <w:highlight w:val="none"/>
              </w:rPr>
              <w:t>生产安全事故发生率</w:t>
            </w:r>
            <w:r>
              <w:rPr>
                <w:rFonts w:hint="eastAsia" w:ascii="宋体" w:hAnsi="宋体" w:eastAsia="宋体"/>
                <w:kern w:val="0"/>
                <w:szCs w:val="21"/>
                <w:highlight w:val="none"/>
                <w:lang w:eastAsia="zh-CN"/>
              </w:rPr>
              <w:t>（</w:t>
            </w:r>
            <w:r>
              <w:rPr>
                <w:rFonts w:hint="eastAsia" w:ascii="宋体" w:hAnsi="宋体" w:eastAsia="宋体"/>
                <w:kern w:val="0"/>
                <w:szCs w:val="21"/>
                <w:highlight w:val="none"/>
              </w:rPr>
              <w:t>起</w:t>
            </w:r>
            <w:r>
              <w:rPr>
                <w:rFonts w:ascii="宋体" w:hAnsi="宋体" w:eastAsia="宋体"/>
                <w:kern w:val="0"/>
                <w:szCs w:val="21"/>
                <w:highlight w:val="none"/>
              </w:rPr>
              <w:t>/</w:t>
            </w:r>
            <w:r>
              <w:rPr>
                <w:rFonts w:hint="eastAsia" w:ascii="宋体" w:hAnsi="宋体" w:eastAsia="宋体"/>
                <w:kern w:val="0"/>
                <w:szCs w:val="21"/>
                <w:highlight w:val="none"/>
              </w:rPr>
              <w:t>亿</w:t>
            </w:r>
            <w:r>
              <w:rPr>
                <w:rFonts w:hint="eastAsia" w:ascii="宋体" w:hAnsi="宋体" w:eastAsia="宋体"/>
                <w:kern w:val="0"/>
                <w:szCs w:val="21"/>
              </w:rPr>
              <w:t>件</w:t>
            </w:r>
            <w:r>
              <w:rPr>
                <w:rFonts w:hint="eastAsia" w:ascii="宋体" w:hAnsi="宋体" w:eastAsia="宋体"/>
                <w:kern w:val="0"/>
                <w:szCs w:val="21"/>
                <w:highlight w:val="none"/>
                <w:lang w:eastAsia="zh-CN"/>
              </w:rPr>
              <w:t>）</w:t>
            </w:r>
          </w:p>
        </w:tc>
        <w:tc>
          <w:tcPr>
            <w:tcW w:w="944"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kern w:val="0"/>
                <w:szCs w:val="21"/>
              </w:rPr>
            </w:pPr>
            <w:r>
              <w:rPr>
                <w:rFonts w:ascii="宋体" w:hAnsi="宋体" w:eastAsia="宋体"/>
                <w:kern w:val="0"/>
                <w:szCs w:val="21"/>
                <w:highlight w:val="none"/>
              </w:rPr>
              <w:t>—</w:t>
            </w:r>
          </w:p>
        </w:tc>
        <w:tc>
          <w:tcPr>
            <w:tcW w:w="914"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kern w:val="0"/>
                <w:szCs w:val="21"/>
              </w:rPr>
            </w:pPr>
            <w:r>
              <w:rPr>
                <w:rFonts w:ascii="宋体" w:hAnsi="宋体" w:eastAsia="宋体"/>
                <w:kern w:val="0"/>
                <w:szCs w:val="21"/>
                <w:highlight w:val="none"/>
              </w:rPr>
              <w:t>—</w:t>
            </w:r>
          </w:p>
        </w:tc>
        <w:tc>
          <w:tcPr>
            <w:tcW w:w="1376"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kern w:val="0"/>
                <w:szCs w:val="21"/>
                <w:highlight w:val="yellow"/>
              </w:rPr>
            </w:pPr>
            <w:r>
              <w:rPr>
                <w:rFonts w:hint="eastAsia" w:ascii="宋体" w:hAnsi="宋体" w:eastAsia="宋体"/>
                <w:kern w:val="0"/>
                <w:szCs w:val="21"/>
              </w:rPr>
              <w:t>[</w:t>
            </w:r>
            <w:r>
              <w:rPr>
                <w:rFonts w:ascii="宋体" w:hAnsi="宋体" w:eastAsia="宋体"/>
                <w:kern w:val="0"/>
                <w:szCs w:val="21"/>
              </w:rPr>
              <w:t>-15%</w:t>
            </w:r>
            <w:r>
              <w:rPr>
                <w:rFonts w:hint="eastAsia" w:ascii="宋体" w:hAnsi="宋体" w:eastAsia="宋体"/>
                <w:kern w:val="0"/>
                <w:szCs w:val="21"/>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exact"/>
          <w:jc w:val="center"/>
        </w:trPr>
        <w:tc>
          <w:tcPr>
            <w:tcW w:w="732"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kern w:val="0"/>
                <w:szCs w:val="21"/>
              </w:rPr>
            </w:pPr>
          </w:p>
        </w:tc>
        <w:tc>
          <w:tcPr>
            <w:tcW w:w="4353"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kern w:val="0"/>
                <w:szCs w:val="21"/>
                <w:highlight w:val="none"/>
              </w:rPr>
            </w:pPr>
            <w:r>
              <w:rPr>
                <w:rFonts w:hint="eastAsia" w:ascii="宋体" w:hAnsi="宋体" w:eastAsia="宋体"/>
                <w:kern w:val="0"/>
                <w:szCs w:val="21"/>
                <w:highlight w:val="none"/>
                <w:lang w:val="en-US" w:eastAsia="zh-CN"/>
              </w:rPr>
              <w:t>15.</w:t>
            </w:r>
            <w:r>
              <w:rPr>
                <w:rFonts w:hint="default" w:ascii="宋体" w:hAnsi="宋体" w:eastAsia="宋体"/>
                <w:kern w:val="0"/>
                <w:szCs w:val="21"/>
                <w:highlight w:val="none"/>
              </w:rPr>
              <w:t>可循环快递</w:t>
            </w:r>
            <w:r>
              <w:rPr>
                <w:rFonts w:ascii="宋体" w:hAnsi="宋体" w:eastAsia="宋体"/>
                <w:kern w:val="0"/>
                <w:szCs w:val="21"/>
                <w:highlight w:val="none"/>
              </w:rPr>
              <w:t>包装保有量</w:t>
            </w:r>
            <w:r>
              <w:rPr>
                <w:rFonts w:hint="eastAsia" w:ascii="宋体" w:hAnsi="宋体" w:eastAsia="宋体"/>
                <w:kern w:val="0"/>
                <w:szCs w:val="21"/>
                <w:highlight w:val="none"/>
                <w:lang w:eastAsia="zh-CN"/>
              </w:rPr>
              <w:t>（</w:t>
            </w:r>
            <w:r>
              <w:rPr>
                <w:rFonts w:hint="default" w:ascii="宋体" w:hAnsi="宋体" w:eastAsia="宋体"/>
                <w:kern w:val="0"/>
                <w:szCs w:val="21"/>
                <w:highlight w:val="none"/>
              </w:rPr>
              <w:t>万个</w:t>
            </w:r>
            <w:r>
              <w:rPr>
                <w:rFonts w:hint="eastAsia" w:ascii="宋体" w:hAnsi="宋体" w:eastAsia="宋体"/>
                <w:kern w:val="0"/>
                <w:szCs w:val="21"/>
                <w:highlight w:val="none"/>
                <w:lang w:eastAsia="zh-CN"/>
              </w:rPr>
              <w:t>）</w:t>
            </w:r>
          </w:p>
        </w:tc>
        <w:tc>
          <w:tcPr>
            <w:tcW w:w="944"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kern w:val="0"/>
                <w:szCs w:val="21"/>
                <w:highlight w:val="none"/>
              </w:rPr>
            </w:pPr>
            <w:r>
              <w:rPr>
                <w:rFonts w:ascii="宋体" w:hAnsi="宋体" w:eastAsia="宋体"/>
                <w:kern w:val="0"/>
                <w:szCs w:val="21"/>
                <w:highlight w:val="none"/>
              </w:rPr>
              <w:t>—</w:t>
            </w:r>
          </w:p>
        </w:tc>
        <w:tc>
          <w:tcPr>
            <w:tcW w:w="914"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kern w:val="0"/>
                <w:szCs w:val="21"/>
                <w:highlight w:val="none"/>
              </w:rPr>
            </w:pPr>
            <w:r>
              <w:rPr>
                <w:rFonts w:hint="default" w:ascii="宋体" w:hAnsi="宋体" w:eastAsia="宋体"/>
                <w:kern w:val="0"/>
                <w:szCs w:val="21"/>
                <w:highlight w:val="none"/>
                <w:lang w:val="en-US" w:eastAsia="zh-CN"/>
              </w:rPr>
              <w:t>30</w:t>
            </w:r>
          </w:p>
        </w:tc>
        <w:tc>
          <w:tcPr>
            <w:tcW w:w="1376"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kern w:val="0"/>
                <w:szCs w:val="21"/>
                <w:highlight w:val="none"/>
              </w:rPr>
            </w:pPr>
            <w:r>
              <w:rPr>
                <w:rFonts w:hint="eastAsia" w:ascii="宋体" w:hAnsi="宋体" w:eastAsia="宋体"/>
                <w:kern w:val="0"/>
                <w:szCs w:val="21"/>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exact"/>
          <w:jc w:val="center"/>
        </w:trPr>
        <w:tc>
          <w:tcPr>
            <w:tcW w:w="8319" w:type="dxa"/>
            <w:gridSpan w:val="5"/>
            <w:vAlign w:val="center"/>
          </w:tcPr>
          <w:p>
            <w:pPr>
              <w:pStyle w:val="18"/>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ascii="宋体" w:hAnsi="宋体" w:eastAsia="宋体"/>
                <w:kern w:val="0"/>
                <w:szCs w:val="21"/>
                <w:highlight w:val="none"/>
              </w:rPr>
            </w:pPr>
            <w:bookmarkStart w:id="11" w:name="_Toc73126662"/>
            <w:bookmarkStart w:id="12" w:name="_Toc81238284"/>
            <w:bookmarkStart w:id="13" w:name="_Toc81238285"/>
            <w:r>
              <w:rPr>
                <w:rFonts w:hint="eastAsia" w:ascii="宋体" w:hAnsi="宋体" w:eastAsia="宋体" w:cstheme="minorBidi"/>
                <w:kern w:val="0"/>
                <w:sz w:val="21"/>
                <w:szCs w:val="21"/>
              </w:rPr>
              <w:t>注：[</w:t>
            </w:r>
            <w:r>
              <w:rPr>
                <w:rFonts w:ascii="宋体" w:hAnsi="宋体" w:eastAsia="宋体" w:cstheme="minorBidi"/>
                <w:kern w:val="0"/>
                <w:sz w:val="21"/>
                <w:szCs w:val="21"/>
              </w:rPr>
              <w:t xml:space="preserve"> ]</w:t>
            </w:r>
            <w:r>
              <w:rPr>
                <w:rFonts w:hint="eastAsia" w:ascii="宋体" w:hAnsi="宋体" w:eastAsia="宋体" w:cstheme="minorBidi"/>
                <w:kern w:val="0"/>
                <w:sz w:val="21"/>
                <w:szCs w:val="21"/>
              </w:rPr>
              <w:t>为五年累计数。</w:t>
            </w:r>
            <w:bookmarkEnd w:id="11"/>
            <w:bookmarkEnd w:id="12"/>
          </w:p>
        </w:tc>
      </w:tr>
    </w:tbl>
    <w:p>
      <w:pPr>
        <w:keepNext w:val="0"/>
        <w:keepLines w:val="0"/>
        <w:pageBreakBefore w:val="0"/>
        <w:widowControl w:val="0"/>
        <w:kinsoku/>
        <w:wordWrap/>
        <w:overflowPunct/>
        <w:topLinePunct w:val="0"/>
        <w:autoSpaceDE/>
        <w:autoSpaceDN/>
        <w:bidi w:val="0"/>
        <w:snapToGrid/>
        <w:spacing w:line="580" w:lineRule="exact"/>
        <w:ind w:firstLine="640" w:firstLineChars="200"/>
        <w:jc w:val="left"/>
        <w:textAlignment w:val="auto"/>
        <w:outlineLvl w:val="0"/>
        <w:rPr>
          <w:rFonts w:ascii="黑体" w:hAnsi="黑体" w:eastAsia="黑体" w:cs="黑体"/>
          <w:sz w:val="32"/>
          <w:szCs w:val="32"/>
        </w:rPr>
      </w:pPr>
      <w:r>
        <w:rPr>
          <w:rFonts w:hint="eastAsia" w:ascii="黑体" w:hAnsi="黑体" w:eastAsia="黑体" w:cs="黑体"/>
          <w:sz w:val="32"/>
          <w:szCs w:val="32"/>
        </w:rPr>
        <w:t>三、空间布局</w:t>
      </w:r>
      <w:bookmarkEnd w:id="13"/>
    </w:p>
    <w:p>
      <w:pPr>
        <w:pStyle w:val="18"/>
        <w:keepNext w:val="0"/>
        <w:keepLines w:val="0"/>
        <w:pageBreakBefore w:val="0"/>
        <w:widowControl w:val="0"/>
        <w:kinsoku/>
        <w:wordWrap/>
        <w:overflowPunct/>
        <w:topLinePunct w:val="0"/>
        <w:autoSpaceDE/>
        <w:autoSpaceDN/>
        <w:bidi w:val="0"/>
        <w:snapToGrid/>
        <w:spacing w:beforeLines="0" w:afterLines="0" w:line="580" w:lineRule="exact"/>
        <w:ind w:firstLine="643"/>
        <w:textAlignment w:val="auto"/>
        <w:rPr>
          <w:rFonts w:ascii="楷体_GB2312" w:eastAsia="楷体_GB2312"/>
          <w:b w:val="0"/>
          <w:bCs/>
        </w:rPr>
      </w:pPr>
      <w:bookmarkStart w:id="14" w:name="_Toc81238286"/>
      <w:r>
        <w:rPr>
          <w:rFonts w:hint="eastAsia" w:ascii="楷体_GB2312" w:eastAsia="楷体_GB2312"/>
          <w:b w:val="0"/>
          <w:bCs/>
        </w:rPr>
        <w:t>（一）发展布局</w:t>
      </w:r>
      <w:bookmarkEnd w:id="14"/>
    </w:p>
    <w:p>
      <w:pPr>
        <w:keepNext w:val="0"/>
        <w:keepLines w:val="0"/>
        <w:pageBreakBefore w:val="0"/>
        <w:widowControl w:val="0"/>
        <w:kinsoku/>
        <w:wordWrap/>
        <w:overflowPunct/>
        <w:topLinePunct w:val="0"/>
        <w:autoSpaceDE/>
        <w:autoSpaceDN/>
        <w:bidi w:val="0"/>
        <w:snapToGrid/>
        <w:spacing w:line="58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贯彻以人民为中心的发展思想，以提质增效为目标，推动邮政公共服务均等化，构建“一轴”“一带”“多点”安徽邮政业发展新格局。</w:t>
      </w:r>
    </w:p>
    <w:p>
      <w:pPr>
        <w:keepNext w:val="0"/>
        <w:keepLines w:val="0"/>
        <w:pageBreakBefore w:val="0"/>
        <w:widowControl w:val="0"/>
        <w:kinsoku/>
        <w:wordWrap/>
        <w:overflowPunct/>
        <w:topLinePunct w:val="0"/>
        <w:autoSpaceDE/>
        <w:autoSpaceDN/>
        <w:bidi w:val="0"/>
        <w:snapToGrid/>
        <w:spacing w:line="58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建设省会合肥行业发展驱动轴，以新基建重大战略布局为契机，打造区域性国际邮政快递枢纽城市，建设更高水平的中国快递示范城市，率先在全省建成创新驱动、便捷高效、绿色共享、开放融合的现代寄递服务体系。</w:t>
      </w:r>
    </w:p>
    <w:p>
      <w:pPr>
        <w:keepNext w:val="0"/>
        <w:keepLines w:val="0"/>
        <w:pageBreakBefore w:val="0"/>
        <w:widowControl w:val="0"/>
        <w:kinsoku/>
        <w:wordWrap/>
        <w:overflowPunct/>
        <w:topLinePunct w:val="0"/>
        <w:autoSpaceDE/>
        <w:autoSpaceDN/>
        <w:bidi w:val="0"/>
        <w:adjustRightInd w:val="0"/>
        <w:snapToGrid/>
        <w:spacing w:line="5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构建皖江五市行业发展支撑带，发挥安庆、池州、铜陵、芜湖、马鞍山五市行业区域协调发展的战略支撑作用，率先融入长三角一体化发展，主动拥抱沪苏浙等行业先发地区，主动呼应湘鄂赣等内陆省份。</w:t>
      </w:r>
    </w:p>
    <w:p>
      <w:pPr>
        <w:keepNext w:val="0"/>
        <w:keepLines w:val="0"/>
        <w:pageBreakBefore w:val="0"/>
        <w:widowControl w:val="0"/>
        <w:kinsoku/>
        <w:wordWrap/>
        <w:overflowPunct/>
        <w:topLinePunct w:val="0"/>
        <w:autoSpaceDE/>
        <w:autoSpaceDN/>
        <w:bidi w:val="0"/>
        <w:snapToGrid/>
        <w:spacing w:line="58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“多点”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打造全省行业特色发展增长点，打造滁州、蚌埠等服务制造业示范区，培育典型引路示范项目。做强阜阳、六安、黄山、宿州、亳州服务现代农业基础优势。推动淮北、淮南、宣城找准行业定位和发展增长极。</w:t>
      </w:r>
    </w:p>
    <w:p>
      <w:pPr>
        <w:pStyle w:val="18"/>
        <w:keepNext w:val="0"/>
        <w:keepLines w:val="0"/>
        <w:pageBreakBefore w:val="0"/>
        <w:widowControl w:val="0"/>
        <w:kinsoku/>
        <w:wordWrap/>
        <w:overflowPunct/>
        <w:topLinePunct w:val="0"/>
        <w:autoSpaceDE/>
        <w:autoSpaceDN/>
        <w:bidi w:val="0"/>
        <w:snapToGrid/>
        <w:spacing w:beforeLines="0" w:afterLines="0" w:line="580" w:lineRule="exact"/>
        <w:ind w:firstLine="643"/>
        <w:textAlignment w:val="auto"/>
        <w:rPr>
          <w:rFonts w:ascii="楷体_GB2312" w:eastAsia="楷体_GB2312"/>
          <w:b w:val="0"/>
          <w:bCs/>
        </w:rPr>
      </w:pPr>
      <w:bookmarkStart w:id="15" w:name="_Toc81238287"/>
      <w:r>
        <w:rPr>
          <w:rFonts w:hint="eastAsia" w:ascii="楷体_GB2312" w:eastAsia="楷体_GB2312"/>
          <w:b w:val="0"/>
          <w:bCs/>
        </w:rPr>
        <w:t>（二）网络</w:t>
      </w:r>
      <w:r>
        <w:rPr>
          <w:rFonts w:ascii="楷体_GB2312" w:eastAsia="楷体_GB2312"/>
          <w:b w:val="0"/>
          <w:bCs/>
        </w:rPr>
        <w:t>布局</w:t>
      </w:r>
      <w:bookmarkEnd w:id="15"/>
    </w:p>
    <w:p>
      <w:pPr>
        <w:keepNext w:val="0"/>
        <w:keepLines w:val="0"/>
        <w:pageBreakBefore w:val="0"/>
        <w:widowControl w:val="0"/>
        <w:kinsoku/>
        <w:wordWrap/>
        <w:overflowPunct/>
        <w:topLinePunct w:val="0"/>
        <w:autoSpaceDE/>
        <w:autoSpaceDN/>
        <w:bidi w:val="0"/>
        <w:snapToGrid/>
        <w:spacing w:line="58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到</w:t>
      </w:r>
      <w:r>
        <w:rPr>
          <w:rFonts w:ascii="仿宋_GB2312" w:hAnsi="仿宋_GB2312" w:eastAsia="仿宋_GB2312" w:cs="仿宋_GB2312"/>
          <w:sz w:val="32"/>
          <w:szCs w:val="32"/>
        </w:rPr>
        <w:t>2025年，全省邮政快递网络布局更加完善，线路覆盖城乡，网点密度更高，作业能力更强，国际网络不断拓展加深。</w:t>
      </w:r>
    </w:p>
    <w:p>
      <w:pPr>
        <w:keepNext w:val="0"/>
        <w:keepLines w:val="0"/>
        <w:pageBreakBefore w:val="0"/>
        <w:widowControl w:val="0"/>
        <w:kinsoku/>
        <w:wordWrap/>
        <w:overflowPunct/>
        <w:topLinePunct w:val="0"/>
        <w:autoSpaceDE/>
        <w:autoSpaceDN/>
        <w:bidi w:val="0"/>
        <w:snapToGrid/>
        <w:spacing w:line="580" w:lineRule="exact"/>
        <w:ind w:firstLine="640"/>
        <w:textAlignment w:val="auto"/>
        <w:rPr>
          <w:rFonts w:ascii="仿宋_GB2312" w:hAnsi="仿宋_GB2312" w:eastAsia="仿宋_GB2312" w:cs="仿宋_GB2312"/>
          <w:sz w:val="32"/>
          <w:szCs w:val="32"/>
        </w:rPr>
      </w:pPr>
      <w:r>
        <w:rPr>
          <w:rFonts w:hint="eastAsia" w:ascii="仿宋_GB2312" w:hAnsi="仿宋" w:eastAsia="仿宋_GB2312" w:cs="楷体"/>
          <w:b/>
          <w:bCs/>
          <w:sz w:val="32"/>
          <w:szCs w:val="32"/>
        </w:rPr>
        <w:t>完善枢纽布局。</w:t>
      </w:r>
      <w:r>
        <w:rPr>
          <w:rFonts w:hint="eastAsia" w:ascii="仿宋_GB2312" w:hAnsi="仿宋_GB2312" w:eastAsia="仿宋_GB2312" w:cs="仿宋_GB2312"/>
          <w:sz w:val="32"/>
          <w:szCs w:val="32"/>
        </w:rPr>
        <w:t>建立覆盖全国、联通国际的枢纽体系，</w:t>
      </w:r>
      <w:r>
        <w:rPr>
          <w:rFonts w:hint="eastAsia" w:ascii="仿宋_GB2312" w:eastAsia="仿宋_GB2312"/>
          <w:sz w:val="32"/>
          <w:szCs w:val="32"/>
        </w:rPr>
        <w:t>形成国际、全国和地区三级邮政快递枢纽空间布局。支持合肥市</w:t>
      </w:r>
      <w:r>
        <w:rPr>
          <w:rFonts w:hint="eastAsia" w:ascii="仿宋_GB2312" w:hAnsi="仿宋_GB2312" w:eastAsia="仿宋_GB2312" w:cs="仿宋_GB2312"/>
          <w:sz w:val="32"/>
          <w:szCs w:val="32"/>
        </w:rPr>
        <w:t>提升区域性国际邮政快递枢纽地位，引导快递企业总部在肥建设快件处理中心、仓储中心，共同参与打造国际航空货运枢纽和全国性邮政快递枢纽。推动芜湖、蚌埠市建设全国性邮政快递枢纽城市，培育阜阳、安庆市为全国性邮政快递枢纽城市，推动六安、滁州等市建设地区性邮政快递枢纽城市。</w:t>
      </w:r>
    </w:p>
    <w:p>
      <w:pPr>
        <w:keepNext w:val="0"/>
        <w:keepLines w:val="0"/>
        <w:pageBreakBefore w:val="0"/>
        <w:widowControl w:val="0"/>
        <w:kinsoku/>
        <w:wordWrap/>
        <w:overflowPunct/>
        <w:topLinePunct w:val="0"/>
        <w:autoSpaceDE/>
        <w:autoSpaceDN/>
        <w:bidi w:val="0"/>
        <w:snapToGrid/>
        <w:spacing w:line="580" w:lineRule="exact"/>
        <w:ind w:firstLine="641"/>
        <w:textAlignment w:val="auto"/>
        <w:rPr>
          <w:rFonts w:ascii="仿宋_GB2312" w:hAnsi="仿宋" w:eastAsia="仿宋_GB2312" w:cs="楷体"/>
          <w:sz w:val="32"/>
          <w:szCs w:val="32"/>
        </w:rPr>
      </w:pPr>
      <w:r>
        <w:rPr>
          <w:rFonts w:hint="eastAsia" w:ascii="仿宋_GB2312" w:hAnsi="仿宋" w:eastAsia="仿宋_GB2312" w:cs="楷体"/>
          <w:b/>
          <w:bCs/>
          <w:sz w:val="32"/>
          <w:szCs w:val="32"/>
        </w:rPr>
        <w:t>畅通运输通道。</w:t>
      </w:r>
      <w:r>
        <w:rPr>
          <w:rFonts w:hint="eastAsia" w:ascii="仿宋_GB2312" w:hAnsi="仿宋_GB2312" w:eastAsia="仿宋_GB2312" w:cs="仿宋_GB2312"/>
          <w:sz w:val="32"/>
          <w:szCs w:val="32"/>
        </w:rPr>
        <w:t>根据全省综合立体交通网规划布局，强化通道建设，加快推动邮件快件干线运输和县以下支线递送通道建设，着力健全和优化合肥都市圈、沿江城市带、沿淮城市带邮件快件运输通道建设。</w:t>
      </w:r>
      <w:r>
        <w:rPr>
          <w:rFonts w:hint="eastAsia" w:ascii="仿宋_GB2312" w:hAnsi="仿宋" w:eastAsia="仿宋_GB2312" w:cs="楷体"/>
          <w:sz w:val="32"/>
          <w:szCs w:val="32"/>
        </w:rPr>
        <w:t>畅通中欧班列运邮通道，加快合肥、芜湖快递类海关监管场所建设，拓展国际快件寄递渠道。</w:t>
      </w:r>
    </w:p>
    <w:p>
      <w:pPr>
        <w:keepNext w:val="0"/>
        <w:keepLines w:val="0"/>
        <w:pageBreakBefore w:val="0"/>
        <w:widowControl w:val="0"/>
        <w:kinsoku/>
        <w:wordWrap/>
        <w:overflowPunct/>
        <w:topLinePunct w:val="0"/>
        <w:autoSpaceDE/>
        <w:autoSpaceDN/>
        <w:bidi w:val="0"/>
        <w:snapToGrid/>
        <w:spacing w:line="580" w:lineRule="exact"/>
        <w:ind w:firstLine="640" w:firstLineChars="200"/>
        <w:jc w:val="left"/>
        <w:textAlignment w:val="auto"/>
        <w:outlineLvl w:val="0"/>
        <w:rPr>
          <w:rFonts w:ascii="黑体" w:hAnsi="黑体" w:eastAsia="黑体" w:cs="黑体"/>
          <w:sz w:val="32"/>
          <w:szCs w:val="32"/>
        </w:rPr>
      </w:pPr>
      <w:bookmarkStart w:id="16" w:name="_Toc81238288"/>
      <w:r>
        <w:rPr>
          <w:rFonts w:hint="eastAsia" w:ascii="黑体" w:hAnsi="黑体" w:eastAsia="黑体" w:cs="黑体"/>
          <w:sz w:val="32"/>
          <w:szCs w:val="32"/>
        </w:rPr>
        <w:t>四、主要任务</w:t>
      </w:r>
      <w:bookmarkEnd w:id="16"/>
    </w:p>
    <w:p>
      <w:pPr>
        <w:pStyle w:val="18"/>
        <w:keepNext w:val="0"/>
        <w:keepLines w:val="0"/>
        <w:pageBreakBefore w:val="0"/>
        <w:widowControl w:val="0"/>
        <w:kinsoku/>
        <w:wordWrap/>
        <w:overflowPunct/>
        <w:topLinePunct w:val="0"/>
        <w:autoSpaceDE/>
        <w:autoSpaceDN/>
        <w:bidi w:val="0"/>
        <w:snapToGrid/>
        <w:spacing w:beforeLines="0" w:afterLines="0" w:line="580" w:lineRule="exact"/>
        <w:ind w:firstLine="643"/>
        <w:textAlignment w:val="auto"/>
        <w:rPr>
          <w:rFonts w:ascii="楷体_GB2312" w:eastAsia="楷体_GB2312"/>
          <w:b w:val="0"/>
          <w:bCs/>
        </w:rPr>
      </w:pPr>
      <w:bookmarkStart w:id="17" w:name="_Toc81238289"/>
      <w:r>
        <w:rPr>
          <w:rFonts w:hint="eastAsia" w:ascii="楷体_GB2312" w:eastAsia="楷体_GB2312"/>
          <w:b w:val="0"/>
          <w:bCs/>
        </w:rPr>
        <w:t>（一）加强基础设施网络建设</w:t>
      </w:r>
      <w:bookmarkEnd w:id="17"/>
    </w:p>
    <w:p>
      <w:pPr>
        <w:keepNext w:val="0"/>
        <w:keepLines w:val="0"/>
        <w:pageBreakBefore w:val="0"/>
        <w:widowControl w:val="0"/>
        <w:kinsoku/>
        <w:wordWrap/>
        <w:overflowPunct/>
        <w:topLinePunct w:val="0"/>
        <w:autoSpaceDE/>
        <w:autoSpaceDN/>
        <w:bidi w:val="0"/>
        <w:adjustRightInd/>
        <w:snapToGrid/>
        <w:spacing w:after="157" w:afterLines="50" w:line="580" w:lineRule="exact"/>
        <w:ind w:firstLine="643" w:firstLineChars="200"/>
        <w:textAlignment w:val="auto"/>
        <w:rPr>
          <w:rFonts w:hint="eastAsia" w:ascii="黑体" w:hAnsi="黑体" w:eastAsia="黑体" w:cs="黑体"/>
          <w:sz w:val="32"/>
          <w:szCs w:val="32"/>
        </w:rPr>
      </w:pPr>
      <w:r>
        <w:rPr>
          <w:rFonts w:hint="eastAsia" w:ascii="仿宋_GB2312" w:hAnsi="仿宋" w:eastAsia="仿宋_GB2312" w:cs="宋体"/>
          <w:b/>
          <w:sz w:val="32"/>
          <w:szCs w:val="32"/>
        </w:rPr>
        <w:t>加快基础设施建设。</w:t>
      </w:r>
      <w:r>
        <w:rPr>
          <w:rFonts w:hint="eastAsia" w:ascii="仿宋_GB2312" w:hAnsi="仿宋_GB2312" w:eastAsia="仿宋_GB2312" w:cs="仿宋_GB2312"/>
          <w:sz w:val="32"/>
          <w:szCs w:val="32"/>
        </w:rPr>
        <w:t>在合肥、芜湖、蚌埠、阜阳、安庆等地新建集分拣处理、仓储冷链为一体的智能化转运中心，推进现有邮政快递处理中心智慧化升级，加强智慧快递物流园区、冷链设施建设。</w:t>
      </w:r>
      <w:r>
        <w:rPr>
          <w:rFonts w:hint="eastAsia" w:ascii="仿宋_GB2312" w:eastAsia="仿宋_GB2312"/>
          <w:sz w:val="32"/>
          <w:szCs w:val="32"/>
        </w:rPr>
        <w:t>鼓励邮政快递企业总部加大对安徽新一轮基础设施建设投资，</w:t>
      </w:r>
      <w:r>
        <w:rPr>
          <w:rFonts w:hint="eastAsia" w:ascii="仿宋_GB2312" w:hAnsi="仿宋_GB2312" w:eastAsia="仿宋_GB2312" w:cs="仿宋_GB2312"/>
          <w:sz w:val="32"/>
          <w:szCs w:val="32"/>
        </w:rPr>
        <w:t>打造合肥区域航空枢纽和国际航空货运集散中心，支持芜湖（京东）全球航空货运枢纽建设。</w:t>
      </w:r>
    </w:p>
    <w:tbl>
      <w:tblPr>
        <w:tblStyle w:val="12"/>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522" w:type="dxa"/>
          </w:tcPr>
          <w:p>
            <w:pPr>
              <w:spacing w:before="50" w:line="560" w:lineRule="exact"/>
              <w:jc w:val="center"/>
              <w:rPr>
                <w:rFonts w:ascii="黑体" w:hAnsi="黑体" w:eastAsia="黑体" w:cs="黑体"/>
                <w:sz w:val="32"/>
                <w:szCs w:val="32"/>
              </w:rPr>
            </w:pPr>
            <w:r>
              <w:rPr>
                <w:rFonts w:hint="eastAsia" w:ascii="黑体" w:hAnsi="黑体" w:eastAsia="黑体" w:cs="黑体"/>
                <w:sz w:val="32"/>
                <w:szCs w:val="32"/>
              </w:rPr>
              <w:t>专栏</w:t>
            </w:r>
            <w:r>
              <w:rPr>
                <w:rFonts w:hint="eastAsia" w:ascii="黑体" w:hAnsi="黑体" w:eastAsia="黑体" w:cs="黑体"/>
                <w:sz w:val="32"/>
                <w:szCs w:val="32"/>
                <w:lang w:val="en-US" w:eastAsia="zh-CN"/>
              </w:rPr>
              <w:t>2</w:t>
            </w:r>
            <w:r>
              <w:rPr>
                <w:rFonts w:hint="eastAsia" w:ascii="黑体" w:hAnsi="黑体" w:eastAsia="黑体" w:cs="黑体"/>
                <w:sz w:val="32"/>
                <w:szCs w:val="32"/>
              </w:rPr>
              <w:t xml:space="preserve"> 骨干设施建设工程</w:t>
            </w:r>
          </w:p>
          <w:p>
            <w:pPr>
              <w:keepNext w:val="0"/>
              <w:keepLines w:val="0"/>
              <w:pageBreakBefore w:val="0"/>
              <w:widowControl w:val="0"/>
              <w:kinsoku/>
              <w:wordWrap/>
              <w:overflowPunct/>
              <w:topLinePunct w:val="0"/>
              <w:autoSpaceDE/>
              <w:autoSpaceDN/>
              <w:bidi w:val="0"/>
              <w:adjustRightInd/>
              <w:snapToGrid/>
              <w:spacing w:before="156" w:beforeLines="50" w:line="480" w:lineRule="exact"/>
              <w:ind w:firstLine="560" w:firstLineChars="200"/>
              <w:textAlignment w:val="auto"/>
              <w:rPr>
                <w:rFonts w:ascii="仿宋_GB2312" w:hAnsi="仿宋_GB2312" w:eastAsia="仿宋_GB2312" w:cs="仿宋_GB2312"/>
                <w:sz w:val="32"/>
                <w:szCs w:val="32"/>
                <w:highlight w:val="yellow"/>
              </w:rPr>
            </w:pPr>
            <w:r>
              <w:rPr>
                <w:rFonts w:hint="eastAsia" w:ascii="楷体" w:hAnsi="楷体" w:eastAsia="楷体" w:cs="楷体"/>
                <w:sz w:val="28"/>
                <w:szCs w:val="28"/>
              </w:rPr>
              <w:t>推进合肥环状快递产业园、芜湖皖南快递产业园、蚌埠快递协同发展试验区、阜阳皖北快递产业园、安庆皖西南快递产业园新一轮项目建设和功能业态迭代升级，提升智能化水平。推动宿州、池州、铜陵等其他</w:t>
            </w:r>
            <w:r>
              <w:rPr>
                <w:rFonts w:ascii="楷体" w:hAnsi="楷体" w:eastAsia="楷体" w:cs="楷体"/>
                <w:sz w:val="28"/>
                <w:szCs w:val="28"/>
              </w:rPr>
              <w:t>1</w:t>
            </w:r>
            <w:r>
              <w:rPr>
                <w:rFonts w:hint="eastAsia" w:ascii="楷体" w:hAnsi="楷体" w:eastAsia="楷体" w:cs="楷体"/>
                <w:sz w:val="28"/>
                <w:szCs w:val="28"/>
              </w:rPr>
              <w:t>1</w:t>
            </w:r>
            <w:r>
              <w:rPr>
                <w:rFonts w:ascii="楷体" w:hAnsi="楷体" w:eastAsia="楷体" w:cs="楷体"/>
                <w:sz w:val="28"/>
                <w:szCs w:val="28"/>
              </w:rPr>
              <w:t>个市建成市本级快递产业园区。吸引快递企业总部在皖加大投资力度，新引进一批快递生态产业园落户安徽。加快建设合肥新桥、芜宣机场航空快件转运中心，</w:t>
            </w:r>
            <w:r>
              <w:rPr>
                <w:rFonts w:hint="eastAsia" w:ascii="楷体" w:hAnsi="楷体" w:eastAsia="楷体" w:cs="楷体"/>
                <w:sz w:val="28"/>
                <w:szCs w:val="28"/>
              </w:rPr>
              <w:t>积极引入具有航空运输能力或资质的快递企业，</w:t>
            </w:r>
            <w:r>
              <w:rPr>
                <w:rFonts w:ascii="楷体" w:hAnsi="楷体" w:eastAsia="楷体" w:cs="楷体"/>
                <w:sz w:val="28"/>
                <w:szCs w:val="28"/>
              </w:rPr>
              <w:t>形成专业航空快递物流区。</w:t>
            </w:r>
            <w:r>
              <w:rPr>
                <w:rFonts w:hint="eastAsia" w:ascii="楷体" w:hAnsi="楷体" w:eastAsia="楷体" w:cs="楷体"/>
                <w:sz w:val="28"/>
                <w:szCs w:val="28"/>
              </w:rPr>
              <w:t>支持其</w:t>
            </w:r>
            <w:r>
              <w:rPr>
                <w:rFonts w:hint="eastAsia" w:ascii="楷体" w:hAnsi="楷体" w:eastAsia="楷体" w:cs="楷体"/>
                <w:sz w:val="28"/>
                <w:szCs w:val="28"/>
                <w:lang w:eastAsia="zh-CN"/>
              </w:rPr>
              <w:t>它</w:t>
            </w:r>
            <w:r>
              <w:rPr>
                <w:rFonts w:hint="eastAsia" w:ascii="楷体" w:hAnsi="楷体" w:eastAsia="楷体" w:cs="楷体"/>
                <w:sz w:val="28"/>
                <w:szCs w:val="28"/>
              </w:rPr>
              <w:t>机场积极发展航空快递。</w:t>
            </w:r>
          </w:p>
        </w:tc>
      </w:tr>
    </w:tbl>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sz w:val="32"/>
          <w:szCs w:val="32"/>
        </w:rPr>
        <w:t>强化干线网络建设。</w:t>
      </w:r>
      <w:r>
        <w:rPr>
          <w:rFonts w:hint="eastAsia" w:ascii="仿宋_GB2312" w:hAnsi="仿宋_GB2312" w:eastAsia="仿宋_GB2312" w:cs="仿宋_GB2312"/>
          <w:sz w:val="32"/>
          <w:szCs w:val="32"/>
        </w:rPr>
        <w:t>着力完善辐射长三角及周边区域的分拨网络。大力推行直达运输、多频出口，支撑重点区域重点业务高质效发展。全面推动快件铁路运输，重点发展电商快递班列，推进合肥等重点城市实现高铁运邮。加快发展航空快递，加大快递全货机专线运输，提升至京津冀、长三角、珠三角等重点区域重点城市次晨达水平。推进邮政快递冷链物流体系建设，实现冷链仓储、冷链寄递、中转分拨一体化。</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sz w:val="32"/>
          <w:szCs w:val="32"/>
        </w:rPr>
        <w:t>优化城市服务网络。</w:t>
      </w:r>
      <w:r>
        <w:rPr>
          <w:rFonts w:hint="eastAsia" w:ascii="仿宋_GB2312" w:hAnsi="仿宋_GB2312" w:eastAsia="仿宋_GB2312" w:cs="仿宋_GB2312"/>
          <w:sz w:val="32"/>
          <w:szCs w:val="32"/>
        </w:rPr>
        <w:t>鼓励城市处理场所功能多元化、智能化，促进仓储、递送等功能为一体，实现与干线运输的顺畅衔接。支持快递末端网点建设，发展“快递超市”，鼓励快递末端服务“前店后仓”新模式。优化城市末端，推进集中投递，加快城市社区快递公共服务站、智能快件（信包）箱等末端基础网络建设。推动社区、机关、企业、高校等有关单位为快递末端服务提供专门场地。在老旧小区改造和新建住宅小区中规划建设邮政快递末端综合服务设施，全面提升城市快递末端标准化水平。</w:t>
      </w:r>
    </w:p>
    <w:p>
      <w:pPr>
        <w:pBdr>
          <w:top w:val="single" w:color="auto" w:sz="4" w:space="1"/>
          <w:left w:val="single" w:color="auto" w:sz="4" w:space="4"/>
          <w:bottom w:val="single" w:color="auto" w:sz="4" w:space="13"/>
          <w:right w:val="single" w:color="auto" w:sz="4" w:space="4"/>
        </w:pBdr>
        <w:spacing w:before="156" w:beforeLines="50" w:after="156" w:afterLines="50" w:line="520" w:lineRule="exact"/>
        <w:ind w:firstLine="0" w:firstLineChars="0"/>
        <w:jc w:val="center"/>
        <w:rPr>
          <w:rFonts w:hint="eastAsia" w:ascii="楷体" w:hAnsi="楷体" w:eastAsia="楷体" w:cs="楷体"/>
          <w:sz w:val="28"/>
          <w:szCs w:val="28"/>
        </w:rPr>
      </w:pPr>
      <w:r>
        <w:rPr>
          <w:rFonts w:hint="eastAsia" w:ascii="黑体" w:hAnsi="黑体" w:eastAsia="黑体" w:cs="黑体"/>
          <w:sz w:val="32"/>
          <w:szCs w:val="32"/>
        </w:rPr>
        <w:t>专栏</w:t>
      </w:r>
      <w:r>
        <w:rPr>
          <w:rFonts w:hint="eastAsia" w:ascii="黑体" w:hAnsi="黑体" w:eastAsia="黑体" w:cs="黑体"/>
          <w:sz w:val="32"/>
          <w:szCs w:val="32"/>
          <w:lang w:val="en-US" w:eastAsia="zh-CN"/>
        </w:rPr>
        <w:t>3</w:t>
      </w:r>
      <w:r>
        <w:rPr>
          <w:rFonts w:hint="eastAsia" w:ascii="黑体" w:hAnsi="黑体" w:eastAsia="黑体" w:cs="黑体"/>
          <w:sz w:val="32"/>
          <w:szCs w:val="32"/>
        </w:rPr>
        <w:t xml:space="preserve"> 城市快递公共末端设施建设工程</w:t>
      </w:r>
    </w:p>
    <w:p>
      <w:pPr>
        <w:pBdr>
          <w:top w:val="single" w:color="auto" w:sz="4" w:space="1"/>
          <w:left w:val="single" w:color="auto" w:sz="4" w:space="4"/>
          <w:bottom w:val="single" w:color="auto" w:sz="4" w:space="13"/>
          <w:right w:val="single" w:color="auto" w:sz="4" w:space="4"/>
        </w:pBdr>
        <w:spacing w:before="156" w:beforeLines="50" w:after="156" w:afterLines="50" w:line="520" w:lineRule="exact"/>
        <w:ind w:firstLine="560" w:firstLineChars="200"/>
        <w:rPr>
          <w:rFonts w:ascii="楷体" w:hAnsi="楷体" w:eastAsia="楷体" w:cs="楷体"/>
          <w:sz w:val="28"/>
          <w:szCs w:val="28"/>
        </w:rPr>
      </w:pPr>
      <w:r>
        <w:rPr>
          <w:rFonts w:hint="eastAsia" w:ascii="楷体" w:hAnsi="楷体" w:eastAsia="楷体" w:cs="楷体"/>
          <w:sz w:val="28"/>
          <w:szCs w:val="28"/>
        </w:rPr>
        <w:t>推动新建居民社区配套建设面积不低于</w:t>
      </w:r>
      <w:r>
        <w:rPr>
          <w:rFonts w:ascii="楷体" w:hAnsi="楷体" w:eastAsia="楷体" w:cs="楷体"/>
          <w:sz w:val="28"/>
          <w:szCs w:val="28"/>
        </w:rPr>
        <w:t>15平方米的社区快递综合服务站，加快布设智能快件（信包）箱</w:t>
      </w:r>
      <w:r>
        <w:rPr>
          <w:rFonts w:hint="eastAsia" w:ascii="楷体" w:hAnsi="楷体" w:eastAsia="楷体" w:cs="楷体"/>
          <w:sz w:val="28"/>
          <w:szCs w:val="28"/>
        </w:rPr>
        <w:t>。将智能快件（信包）箱纳入新建住房和老旧小区改造工程验收。到</w:t>
      </w:r>
      <w:r>
        <w:rPr>
          <w:rFonts w:ascii="楷体" w:hAnsi="楷体" w:eastAsia="楷体" w:cs="楷体"/>
          <w:sz w:val="28"/>
          <w:szCs w:val="28"/>
        </w:rPr>
        <w:t>2025年，全省城区建成6000个以上社区快递综合服务站，布设运营智能快件（信包）</w:t>
      </w:r>
      <w:r>
        <w:rPr>
          <w:rFonts w:hint="eastAsia" w:ascii="楷体" w:hAnsi="楷体" w:eastAsia="楷体" w:cs="楷体"/>
          <w:sz w:val="28"/>
          <w:szCs w:val="28"/>
        </w:rPr>
        <w:t>箱1</w:t>
      </w:r>
      <w:r>
        <w:rPr>
          <w:rFonts w:ascii="楷体" w:hAnsi="楷体" w:eastAsia="楷体" w:cs="楷体"/>
          <w:sz w:val="28"/>
          <w:szCs w:val="28"/>
        </w:rPr>
        <w:t>.</w:t>
      </w:r>
      <w:r>
        <w:rPr>
          <w:rFonts w:hint="eastAsia" w:ascii="楷体" w:hAnsi="楷体" w:eastAsia="楷体" w:cs="楷体"/>
          <w:sz w:val="28"/>
          <w:szCs w:val="28"/>
        </w:rPr>
        <w:t>6万</w:t>
      </w:r>
      <w:r>
        <w:rPr>
          <w:rFonts w:ascii="楷体" w:hAnsi="楷体" w:eastAsia="楷体" w:cs="楷体"/>
          <w:sz w:val="28"/>
          <w:szCs w:val="28"/>
        </w:rPr>
        <w:t>组。</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ascii="仿宋_GB2312" w:hAnsi="仿宋_GB2312" w:eastAsia="仿宋_GB2312" w:cs="仿宋_GB2312"/>
          <w:sz w:val="32"/>
          <w:szCs w:val="32"/>
        </w:rPr>
      </w:pPr>
      <w:r>
        <w:rPr>
          <w:rFonts w:hint="eastAsia" w:ascii="仿宋_GB2312" w:hAnsi="仿宋" w:eastAsia="仿宋_GB2312"/>
          <w:b/>
          <w:bCs/>
          <w:sz w:val="32"/>
          <w:szCs w:val="32"/>
        </w:rPr>
        <w:t>做强县乡村服务网络。</w:t>
      </w:r>
      <w:r>
        <w:rPr>
          <w:rFonts w:hint="eastAsia" w:ascii="仿宋_GB2312" w:hAnsi="仿宋_GB2312" w:eastAsia="仿宋_GB2312" w:cs="仿宋_GB2312"/>
          <w:sz w:val="32"/>
          <w:szCs w:val="32"/>
        </w:rPr>
        <w:t>健全以县级分拨中心、乡镇服务网点、村级公共服务站点为支撑的农村快递服务网络。提升县级分拨中心精细化分拨处理能力。推动乡镇以下网络设施资源共享，鼓励快递企业通过邮快合作、快电合作、快商合作等模式建设乡村快递公共服务站点，实现持续稳定经营</w:t>
      </w:r>
      <w:r>
        <w:rPr>
          <w:rFonts w:hint="eastAsia" w:ascii="仿宋_GB2312" w:hAnsi="仿宋_GB2312" w:eastAsia="仿宋_GB2312" w:cs="仿宋_GB2312"/>
          <w:sz w:val="32"/>
          <w:szCs w:val="32"/>
          <w:lang w:eastAsia="zh-CN"/>
        </w:rPr>
        <w:t>。</w:t>
      </w:r>
      <w:r>
        <w:rPr>
          <w:rFonts w:hint="eastAsia" w:ascii="仿宋_GB2312" w:eastAsia="仿宋_GB2312"/>
          <w:sz w:val="32"/>
          <w:szCs w:val="32"/>
        </w:rPr>
        <w:t>到</w:t>
      </w:r>
      <w:r>
        <w:rPr>
          <w:rFonts w:ascii="仿宋_GB2312" w:eastAsia="仿宋_GB2312"/>
          <w:sz w:val="32"/>
          <w:szCs w:val="32"/>
        </w:rPr>
        <w:t>202</w:t>
      </w:r>
      <w:r>
        <w:rPr>
          <w:rFonts w:hint="eastAsia" w:ascii="仿宋_GB2312" w:eastAsia="仿宋_GB2312"/>
          <w:sz w:val="32"/>
          <w:szCs w:val="32"/>
          <w:lang w:val="en-US" w:eastAsia="zh-CN"/>
        </w:rPr>
        <w:t>5年，基本形成开放惠民、集约共享、安全高效、双向畅通的农村寄递物流体系，</w:t>
      </w:r>
      <w:r>
        <w:rPr>
          <w:rFonts w:hint="eastAsia" w:ascii="仿宋_GB2312" w:hAnsi="仿宋_GB2312" w:eastAsia="仿宋_GB2312" w:cs="仿宋_GB2312"/>
          <w:sz w:val="32"/>
          <w:szCs w:val="32"/>
          <w:lang w:val="en-US" w:eastAsia="zh-CN"/>
        </w:rPr>
        <w:t>实现乡乡有网点、村村有服务，进一步</w:t>
      </w:r>
      <w:r>
        <w:rPr>
          <w:rFonts w:hint="eastAsia" w:ascii="仿宋_GB2312" w:hAnsi="仿宋_GB2312" w:eastAsia="仿宋_GB2312" w:cs="仿宋_GB2312"/>
          <w:sz w:val="32"/>
          <w:szCs w:val="32"/>
        </w:rPr>
        <w:t>畅通工业品下乡、农产品进城双向渠道</w:t>
      </w:r>
      <w:r>
        <w:rPr>
          <w:rFonts w:hint="eastAsia" w:ascii="仿宋_GB2312" w:hAnsi="仿宋_GB2312" w:eastAsia="仿宋_GB2312" w:cs="仿宋_GB2312"/>
          <w:sz w:val="32"/>
          <w:szCs w:val="32"/>
          <w:lang w:eastAsia="zh-CN"/>
        </w:rPr>
        <w:t>。</w:t>
      </w:r>
    </w:p>
    <w:p>
      <w:pPr>
        <w:pBdr>
          <w:top w:val="single" w:color="auto" w:sz="4" w:space="1"/>
          <w:left w:val="single" w:color="auto" w:sz="4" w:space="4"/>
          <w:bottom w:val="single" w:color="auto" w:sz="4" w:space="1"/>
          <w:right w:val="single" w:color="auto" w:sz="4" w:space="4"/>
        </w:pBdr>
        <w:spacing w:before="156" w:beforeLines="50" w:after="156" w:afterLines="50" w:line="520" w:lineRule="exact"/>
        <w:ind w:firstLine="0" w:firstLineChars="0"/>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专栏4 “快递进村”工程</w:t>
      </w:r>
    </w:p>
    <w:p>
      <w:pPr>
        <w:pBdr>
          <w:top w:val="single" w:color="auto" w:sz="4" w:space="1"/>
          <w:left w:val="single" w:color="auto" w:sz="4" w:space="4"/>
          <w:bottom w:val="single" w:color="auto" w:sz="4" w:space="1"/>
          <w:right w:val="single" w:color="auto" w:sz="4" w:space="4"/>
        </w:pBdr>
        <w:spacing w:before="156" w:beforeLines="50" w:after="156" w:afterLines="50" w:line="520" w:lineRule="exact"/>
        <w:ind w:firstLine="560" w:firstLineChars="200"/>
        <w:rPr>
          <w:rFonts w:ascii="楷体" w:hAnsi="楷体" w:eastAsia="楷体" w:cs="楷体"/>
          <w:sz w:val="28"/>
          <w:szCs w:val="28"/>
        </w:rPr>
      </w:pPr>
      <w:r>
        <w:rPr>
          <w:rFonts w:hint="eastAsia" w:ascii="楷体" w:hAnsi="楷体" w:eastAsia="楷体" w:cs="楷体"/>
          <w:sz w:val="28"/>
          <w:szCs w:val="28"/>
          <w:lang w:val="en-US" w:eastAsia="zh-CN"/>
        </w:rPr>
        <w:t>加快县、乡、村三级农村寄递物流体系建设。</w:t>
      </w:r>
      <w:r>
        <w:rPr>
          <w:rFonts w:hint="eastAsia" w:ascii="楷体" w:hAnsi="楷体" w:eastAsia="楷体" w:cs="楷体"/>
          <w:sz w:val="28"/>
          <w:szCs w:val="28"/>
        </w:rPr>
        <w:t>支持“邮快合作”“快电合作”“交快合作”等各种末端服务模式创新，发展共同递送。在有条件的地方</w:t>
      </w:r>
      <w:r>
        <w:rPr>
          <w:rFonts w:ascii="楷体" w:hAnsi="楷体" w:eastAsia="楷体" w:cs="楷体"/>
          <w:sz w:val="28"/>
          <w:szCs w:val="28"/>
        </w:rPr>
        <w:t>布设智能自助取件设施，试点</w:t>
      </w:r>
      <w:r>
        <w:rPr>
          <w:rFonts w:hint="eastAsia" w:ascii="楷体" w:hAnsi="楷体" w:eastAsia="楷体" w:cs="楷体"/>
          <w:sz w:val="28"/>
          <w:szCs w:val="28"/>
        </w:rPr>
        <w:t>无人机递送。支持</w:t>
      </w:r>
      <w:r>
        <w:rPr>
          <w:rFonts w:ascii="楷体" w:hAnsi="楷体" w:eastAsia="楷体" w:cs="楷体"/>
          <w:sz w:val="28"/>
          <w:szCs w:val="28"/>
        </w:rPr>
        <w:t>使用汽车收投邮件快件。</w:t>
      </w:r>
      <w:r>
        <w:rPr>
          <w:rFonts w:hint="eastAsia" w:ascii="楷体" w:hAnsi="楷体" w:eastAsia="楷体" w:cs="楷体"/>
          <w:sz w:val="28"/>
          <w:szCs w:val="28"/>
        </w:rPr>
        <w:t>建设“一市一品”示范项目，培育快递服务现代农业金牌项目。到</w:t>
      </w:r>
      <w:r>
        <w:rPr>
          <w:rFonts w:ascii="楷体" w:hAnsi="楷体" w:eastAsia="楷体" w:cs="楷体"/>
          <w:sz w:val="28"/>
          <w:szCs w:val="28"/>
        </w:rPr>
        <w:t>2022年</w:t>
      </w:r>
      <w:r>
        <w:rPr>
          <w:rFonts w:hint="eastAsia" w:ascii="楷体" w:hAnsi="楷体" w:eastAsia="楷体" w:cs="楷体"/>
          <w:sz w:val="28"/>
          <w:szCs w:val="28"/>
          <w:lang w:val="en-US" w:eastAsia="zh-CN"/>
        </w:rPr>
        <w:t>底</w:t>
      </w:r>
      <w:r>
        <w:rPr>
          <w:rFonts w:ascii="楷体" w:hAnsi="楷体" w:eastAsia="楷体" w:cs="楷体"/>
          <w:sz w:val="28"/>
          <w:szCs w:val="28"/>
        </w:rPr>
        <w:t>，</w:t>
      </w:r>
      <w:r>
        <w:rPr>
          <w:rFonts w:hint="eastAsia" w:ascii="楷体" w:hAnsi="楷体" w:eastAsia="楷体" w:cs="楷体"/>
          <w:sz w:val="28"/>
          <w:szCs w:val="28"/>
        </w:rPr>
        <w:t>基本实现“村村通快递”。到</w:t>
      </w:r>
      <w:r>
        <w:rPr>
          <w:rFonts w:ascii="楷体" w:hAnsi="楷体" w:eastAsia="楷体" w:cs="楷体"/>
          <w:sz w:val="28"/>
          <w:szCs w:val="28"/>
        </w:rPr>
        <w:t>2025年，稳定运营8000个以上村级寄递物流综合服务站。</w:t>
      </w:r>
    </w:p>
    <w:p>
      <w:pPr>
        <w:pStyle w:val="18"/>
        <w:keepNext w:val="0"/>
        <w:keepLines w:val="0"/>
        <w:pageBreakBefore w:val="0"/>
        <w:widowControl w:val="0"/>
        <w:kinsoku/>
        <w:wordWrap/>
        <w:overflowPunct/>
        <w:topLinePunct w:val="0"/>
        <w:autoSpaceDE/>
        <w:autoSpaceDN/>
        <w:bidi w:val="0"/>
        <w:adjustRightInd/>
        <w:snapToGrid/>
        <w:spacing w:beforeLines="0" w:afterLines="0" w:line="580" w:lineRule="exact"/>
        <w:ind w:firstLine="643"/>
        <w:textAlignment w:val="auto"/>
        <w:rPr>
          <w:rFonts w:ascii="楷体_GB2312" w:eastAsia="楷体_GB2312"/>
          <w:b w:val="0"/>
          <w:bCs/>
        </w:rPr>
      </w:pPr>
      <w:bookmarkStart w:id="18" w:name="_Toc81238290"/>
      <w:r>
        <w:rPr>
          <w:rFonts w:hint="eastAsia" w:ascii="楷体_GB2312" w:eastAsia="楷体_GB2312"/>
          <w:b w:val="0"/>
          <w:bCs/>
        </w:rPr>
        <w:t>（二）深度提升寄递服务品质</w:t>
      </w:r>
      <w:bookmarkEnd w:id="18"/>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pPr>
      <w:r>
        <w:rPr>
          <w:rFonts w:hint="eastAsia" w:ascii="仿宋_GB2312" w:hAnsi="仿宋" w:eastAsia="仿宋_GB2312" w:cs="仿宋"/>
          <w:b/>
          <w:bCs/>
          <w:sz w:val="32"/>
          <w:szCs w:val="32"/>
        </w:rPr>
        <w:t>加强邮政普遍服务保障。</w:t>
      </w:r>
      <w:r>
        <w:rPr>
          <w:rFonts w:hint="eastAsia" w:ascii="仿宋_GB2312" w:hAnsi="仿宋_GB2312" w:eastAsia="仿宋_GB2312" w:cs="仿宋_GB2312"/>
          <w:b w:val="0"/>
          <w:bCs w:val="0"/>
          <w:sz w:val="32"/>
          <w:szCs w:val="32"/>
        </w:rPr>
        <w:t>落实</w:t>
      </w:r>
      <w:r>
        <w:rPr>
          <w:rFonts w:hint="eastAsia" w:ascii="仿宋_GB2312" w:hAnsi="仿宋_GB2312" w:eastAsia="仿宋_GB2312" w:cs="仿宋_GB2312"/>
          <w:sz w:val="32"/>
          <w:szCs w:val="32"/>
        </w:rPr>
        <w:t>深化邮政企业改革举措，推动邮政普遍服务均等化，提升建制村通邮服务水平。加强农村邮政</w:t>
      </w:r>
      <w:r>
        <w:rPr>
          <w:rFonts w:hint="eastAsia" w:ascii="仿宋_GB2312" w:hAnsi="仿宋_GB2312" w:eastAsia="仿宋_GB2312" w:cs="仿宋_GB2312"/>
          <w:spacing w:val="2"/>
          <w:sz w:val="32"/>
          <w:szCs w:val="32"/>
        </w:rPr>
        <w:t>网点设施配备，因地制宜叠加服务种类，满足农村地区邮政服务需求。充分发挥邮政网络平台优势，拓展政邮、警邮、税邮合作范围，增加代办事项种类，优化邮政寄递“一站式办理”服务。</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ascii="仿宋_GB2312" w:hAnsi="仿宋_GB2312" w:eastAsia="仿宋_GB2312" w:cs="仿宋_GB2312"/>
          <w:sz w:val="32"/>
          <w:szCs w:val="32"/>
        </w:rPr>
      </w:pPr>
      <w:r>
        <w:rPr>
          <w:rFonts w:hint="eastAsia" w:ascii="仿宋_GB2312" w:hAnsi="Times New Roman" w:eastAsia="仿宋_GB2312" w:cs="Times New Roman"/>
          <w:b/>
          <w:bCs/>
          <w:sz w:val="32"/>
          <w:szCs w:val="32"/>
          <w:shd w:val="clear" w:color="auto" w:fill="FFFFFF"/>
        </w:rPr>
        <w:t>提升快递寄递服务质量。</w:t>
      </w:r>
      <w:r>
        <w:rPr>
          <w:rFonts w:hint="eastAsia" w:ascii="仿宋_GB2312" w:hAnsi="仿宋_GB2312" w:eastAsia="仿宋_GB2312" w:cs="仿宋_GB2312"/>
          <w:sz w:val="32"/>
          <w:szCs w:val="32"/>
        </w:rPr>
        <w:t>全面增强仓干配服务质效，提升服务的稳定性、时效性和标准化水平，推动服务向价值链中高端延伸。发展航空</w:t>
      </w:r>
      <w:r>
        <w:rPr>
          <w:rFonts w:ascii="仿宋_GB2312" w:hAnsi="仿宋_GB2312" w:eastAsia="仿宋_GB2312" w:cs="仿宋_GB2312"/>
          <w:sz w:val="32"/>
          <w:szCs w:val="32"/>
        </w:rPr>
        <w:t>寄递服务和高铁</w:t>
      </w:r>
      <w:r>
        <w:rPr>
          <w:rFonts w:hint="eastAsia" w:ascii="仿宋_GB2312" w:hAnsi="仿宋_GB2312" w:eastAsia="仿宋_GB2312" w:cs="仿宋_GB2312"/>
          <w:sz w:val="32"/>
          <w:szCs w:val="32"/>
        </w:rPr>
        <w:t>寄递</w:t>
      </w:r>
      <w:r>
        <w:rPr>
          <w:rFonts w:ascii="仿宋_GB2312" w:hAnsi="仿宋_GB2312" w:eastAsia="仿宋_GB2312" w:cs="仿宋_GB2312"/>
          <w:sz w:val="32"/>
          <w:szCs w:val="32"/>
        </w:rPr>
        <w:t>服务</w:t>
      </w:r>
      <w:r>
        <w:rPr>
          <w:rFonts w:hint="eastAsia" w:ascii="仿宋_GB2312" w:hAnsi="仿宋_GB2312" w:eastAsia="仿宋_GB2312" w:cs="仿宋_GB2312"/>
          <w:sz w:val="32"/>
          <w:szCs w:val="32"/>
        </w:rPr>
        <w:t>，大幅提升运递效率和服务品质。缩小城乡间快递服务差距，提升快递服务满意度。开发</w:t>
      </w:r>
      <w:r>
        <w:rPr>
          <w:rFonts w:hint="eastAsia" w:ascii="仿宋_GB2312" w:hAnsi="仿宋_GB2312" w:eastAsia="仿宋_GB2312" w:cs="仿宋_GB2312"/>
          <w:spacing w:val="2"/>
          <w:sz w:val="32"/>
          <w:szCs w:val="32"/>
        </w:rPr>
        <w:t>多种时效产品，满足消费者准时达、定时达、夜间递、绿色包材、约定交付方式等多样化服务需求，提供揽收和投递多元化选择。</w:t>
      </w:r>
    </w:p>
    <w:p>
      <w:pPr>
        <w:pStyle w:val="18"/>
        <w:keepNext w:val="0"/>
        <w:keepLines w:val="0"/>
        <w:pageBreakBefore w:val="0"/>
        <w:widowControl w:val="0"/>
        <w:kinsoku/>
        <w:wordWrap/>
        <w:overflowPunct/>
        <w:topLinePunct w:val="0"/>
        <w:autoSpaceDE/>
        <w:autoSpaceDN/>
        <w:bidi w:val="0"/>
        <w:adjustRightInd/>
        <w:snapToGrid/>
        <w:spacing w:beforeLines="0" w:afterLines="0" w:line="580" w:lineRule="exact"/>
        <w:ind w:firstLine="643"/>
        <w:textAlignment w:val="auto"/>
        <w:rPr>
          <w:rFonts w:ascii="楷体_GB2312" w:eastAsia="楷体_GB2312"/>
          <w:b w:val="0"/>
          <w:bCs/>
        </w:rPr>
      </w:pPr>
      <w:bookmarkStart w:id="19" w:name="_Toc81238291"/>
      <w:r>
        <w:rPr>
          <w:rFonts w:hint="eastAsia" w:ascii="楷体_GB2312" w:eastAsia="楷体_GB2312"/>
          <w:b w:val="0"/>
          <w:bCs/>
        </w:rPr>
        <w:t>（三）加快寄递产业生态拓展</w:t>
      </w:r>
      <w:bookmarkEnd w:id="19"/>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ascii="仿宋_GB2312" w:hAnsi="仿宋_GB2312" w:eastAsia="仿宋_GB2312" w:cs="仿宋_GB2312"/>
          <w:sz w:val="32"/>
          <w:szCs w:val="32"/>
        </w:rPr>
      </w:pPr>
      <w:r>
        <w:rPr>
          <w:rFonts w:hint="eastAsia" w:ascii="仿宋_GB2312" w:hAnsi="Times New Roman" w:eastAsia="仿宋_GB2312" w:cs="Times New Roman"/>
          <w:b/>
          <w:bCs/>
          <w:sz w:val="32"/>
          <w:szCs w:val="32"/>
          <w:shd w:val="clear" w:color="auto" w:fill="FFFFFF"/>
        </w:rPr>
        <w:t>深度服务现代农业。</w:t>
      </w:r>
      <w:r>
        <w:rPr>
          <w:rFonts w:hint="eastAsia" w:ascii="仿宋_GB2312" w:hAnsi="仿宋_GB2312" w:eastAsia="仿宋_GB2312" w:cs="仿宋_GB2312"/>
          <w:sz w:val="32"/>
          <w:szCs w:val="32"/>
        </w:rPr>
        <w:t>支持发展邮政农村电商平台，引导邮政企业构建“邮乐购”电商服务生态圈。继续培育“一地一品”精品项目，打造出在全国范围内具有示范意义的金牌项目。</w:t>
      </w:r>
      <w:r>
        <w:rPr>
          <w:rFonts w:hint="eastAsia" w:ascii="仿宋_GB2312" w:eastAsia="仿宋_GB2312"/>
          <w:sz w:val="32"/>
          <w:szCs w:val="32"/>
        </w:rPr>
        <w:t>引导邮政快递企业加强与农业、供销、商贸等企业合作，降低农产品物流成本，引领农村消费升级，服务乡村振兴战略。</w:t>
      </w:r>
      <w:r>
        <w:rPr>
          <w:rFonts w:hint="eastAsia" w:ascii="仿宋_GB2312" w:hAnsi="仿宋_GB2312" w:eastAsia="仿宋_GB2312" w:cs="仿宋_GB2312"/>
          <w:sz w:val="32"/>
          <w:szCs w:val="32"/>
        </w:rPr>
        <w:t>推广“寄递</w:t>
      </w:r>
      <w:r>
        <w:rPr>
          <w:rFonts w:ascii="仿宋_GB2312" w:hAnsi="仿宋_GB2312" w:eastAsia="仿宋_GB2312" w:cs="仿宋_GB2312"/>
          <w:sz w:val="32"/>
          <w:szCs w:val="32"/>
        </w:rPr>
        <w:t>+电商+农特产品+农户”模式</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建立覆盖农产品生产、加工、运输、储存、销售等环节的全程冷链快递物流体系。推动寄递企业与金融、商业等服务机构协同发展，打造综合服务模式。</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 w:eastAsia="仿宋_GB2312" w:cs="仿宋"/>
          <w:b/>
          <w:sz w:val="32"/>
          <w:szCs w:val="32"/>
        </w:rPr>
        <w:t>助力制造业提质增效。</w:t>
      </w:r>
      <w:r>
        <w:rPr>
          <w:rFonts w:hint="eastAsia" w:ascii="仿宋_GB2312" w:hAnsi="仿宋_GB2312" w:eastAsia="仿宋_GB2312" w:cs="仿宋_GB2312"/>
          <w:sz w:val="32"/>
          <w:szCs w:val="32"/>
        </w:rPr>
        <w:t>支持邮政快递企业与制造企业通过市场化的方式，创新供应链协同共建模式，促进与制造业协同联动、跨界融合，统筹推进行业降本增效和制造业转型升级，推动制造业向价值链中高端迈进。将合肥、芜湖、蚌埠、滁州作为</w:t>
      </w:r>
      <w:r>
        <w:rPr>
          <w:rFonts w:hint="eastAsia" w:ascii="仿宋_GB2312" w:hAnsi="仿宋_GB2312" w:eastAsia="仿宋_GB2312" w:cs="仿宋_GB2312"/>
          <w:sz w:val="32"/>
          <w:szCs w:val="32"/>
          <w:lang w:val="en-US" w:eastAsia="zh-CN"/>
        </w:rPr>
        <w:t>快递</w:t>
      </w:r>
      <w:r>
        <w:rPr>
          <w:rFonts w:hint="eastAsia" w:ascii="仿宋_GB2312" w:hAnsi="仿宋_GB2312" w:eastAsia="仿宋_GB2312" w:cs="仿宋_GB2312"/>
          <w:sz w:val="32"/>
          <w:szCs w:val="32"/>
        </w:rPr>
        <w:t>与制造业融合发展的试点城市，实现信息共享、流程对接、服务定制，为智能制造、服务型制造提供支撑，由简单服务向综合服务转型。</w:t>
      </w:r>
    </w:p>
    <w:p>
      <w:pPr>
        <w:pStyle w:val="2"/>
        <w:rPr>
          <w:rFonts w:hint="eastAsia"/>
        </w:rPr>
      </w:pPr>
    </w:p>
    <w:p>
      <w:pPr>
        <w:pBdr>
          <w:top w:val="single" w:color="auto" w:sz="4" w:space="1"/>
          <w:left w:val="single" w:color="auto" w:sz="4" w:space="4"/>
          <w:bottom w:val="single" w:color="auto" w:sz="4" w:space="1"/>
          <w:right w:val="single" w:color="auto" w:sz="4" w:space="4"/>
        </w:pBdr>
        <w:spacing w:before="50" w:line="520" w:lineRule="exact"/>
        <w:ind w:firstLine="0" w:firstLineChars="0"/>
        <w:jc w:val="center"/>
        <w:rPr>
          <w:rFonts w:hint="eastAsia" w:ascii="黑体" w:hAnsi="黑体" w:eastAsia="黑体" w:cs="黑体"/>
          <w:sz w:val="32"/>
          <w:szCs w:val="32"/>
        </w:rPr>
      </w:pPr>
      <w:r>
        <w:rPr>
          <w:rFonts w:hint="eastAsia" w:ascii="黑体" w:hAnsi="黑体" w:eastAsia="黑体" w:cs="黑体"/>
          <w:sz w:val="32"/>
          <w:szCs w:val="32"/>
        </w:rPr>
        <w:t>专栏</w:t>
      </w:r>
      <w:r>
        <w:rPr>
          <w:rFonts w:hint="eastAsia" w:ascii="黑体" w:hAnsi="黑体" w:eastAsia="黑体" w:cs="黑体"/>
          <w:sz w:val="32"/>
          <w:szCs w:val="32"/>
          <w:lang w:val="en-US" w:eastAsia="zh-CN"/>
        </w:rPr>
        <w:t>5</w:t>
      </w:r>
      <w:r>
        <w:rPr>
          <w:rFonts w:hint="eastAsia" w:ascii="黑体" w:hAnsi="黑体" w:eastAsia="黑体" w:cs="黑体"/>
          <w:sz w:val="32"/>
          <w:szCs w:val="32"/>
        </w:rPr>
        <w:t xml:space="preserve"> “快递进厂”工程</w:t>
      </w:r>
    </w:p>
    <w:p>
      <w:pPr>
        <w:pBdr>
          <w:top w:val="single" w:color="auto" w:sz="4" w:space="1"/>
          <w:left w:val="single" w:color="auto" w:sz="4" w:space="4"/>
          <w:bottom w:val="single" w:color="auto" w:sz="4" w:space="1"/>
          <w:right w:val="single" w:color="auto" w:sz="4" w:space="4"/>
        </w:pBdr>
        <w:spacing w:before="50" w:line="520" w:lineRule="exact"/>
        <w:ind w:firstLine="560" w:firstLineChars="200"/>
        <w:rPr>
          <w:rFonts w:ascii="楷体" w:hAnsi="楷体" w:eastAsia="楷体" w:cs="楷体"/>
          <w:sz w:val="28"/>
          <w:szCs w:val="28"/>
        </w:rPr>
      </w:pPr>
      <w:r>
        <w:rPr>
          <w:rFonts w:hint="eastAsia" w:ascii="楷体" w:hAnsi="楷体" w:eastAsia="楷体" w:cs="楷体"/>
          <w:sz w:val="28"/>
          <w:szCs w:val="28"/>
        </w:rPr>
        <w:t>引导邮政快递企业与制造企业深度合作，支持发展面向集成电路、生物制药、家电生产、汽车制造、高端电子消费品、高端精密设备等制造业的全流程寄递物流体系。重点在合肥、芜湖、蚌埠、滁州等地推进快递业与制造业深度融合发展试点工作，培育</w:t>
      </w:r>
      <w:r>
        <w:rPr>
          <w:rFonts w:ascii="楷体" w:hAnsi="楷体" w:eastAsia="楷体" w:cs="楷体"/>
          <w:sz w:val="28"/>
          <w:szCs w:val="28"/>
        </w:rPr>
        <w:t>10个快递与制造业深度融合</w:t>
      </w:r>
      <w:r>
        <w:rPr>
          <w:rFonts w:hint="eastAsia" w:ascii="楷体" w:hAnsi="楷体" w:eastAsia="楷体" w:cs="楷体"/>
          <w:sz w:val="28"/>
          <w:szCs w:val="28"/>
        </w:rPr>
        <w:t>典型</w:t>
      </w:r>
      <w:r>
        <w:rPr>
          <w:rFonts w:ascii="楷体" w:hAnsi="楷体" w:eastAsia="楷体" w:cs="楷体"/>
          <w:sz w:val="28"/>
          <w:szCs w:val="28"/>
        </w:rPr>
        <w:t>项目，打造1-2</w:t>
      </w:r>
      <w:r>
        <w:rPr>
          <w:rFonts w:hint="eastAsia" w:ascii="楷体" w:hAnsi="楷体" w:eastAsia="楷体" w:cs="楷体"/>
          <w:sz w:val="28"/>
          <w:szCs w:val="28"/>
        </w:rPr>
        <w:t>个深度融合</w:t>
      </w:r>
      <w:r>
        <w:rPr>
          <w:rFonts w:ascii="楷体" w:hAnsi="楷体" w:eastAsia="楷体" w:cs="楷体"/>
          <w:sz w:val="28"/>
          <w:szCs w:val="28"/>
        </w:rPr>
        <w:t>发展先行区</w:t>
      </w:r>
      <w:r>
        <w:rPr>
          <w:rFonts w:hint="eastAsia" w:ascii="楷体" w:hAnsi="楷体" w:eastAsia="楷体" w:cs="楷体"/>
          <w:sz w:val="28"/>
          <w:szCs w:val="28"/>
        </w:rPr>
        <w:t>。适应</w:t>
      </w:r>
      <w:r>
        <w:rPr>
          <w:rFonts w:ascii="楷体" w:hAnsi="楷体" w:eastAsia="楷体" w:cs="楷体"/>
          <w:sz w:val="28"/>
          <w:szCs w:val="28"/>
        </w:rPr>
        <w:t>大中型制造业工厂、</w:t>
      </w:r>
      <w:r>
        <w:rPr>
          <w:rFonts w:hint="eastAsia" w:ascii="楷体" w:hAnsi="楷体" w:eastAsia="楷体" w:cs="楷体"/>
          <w:sz w:val="28"/>
          <w:szCs w:val="28"/>
        </w:rPr>
        <w:t>园区</w:t>
      </w:r>
      <w:r>
        <w:rPr>
          <w:rFonts w:ascii="楷体" w:hAnsi="楷体" w:eastAsia="楷体" w:cs="楷体"/>
          <w:sz w:val="28"/>
          <w:szCs w:val="28"/>
        </w:rPr>
        <w:t>的供应链服务需求，</w:t>
      </w:r>
      <w:r>
        <w:rPr>
          <w:rFonts w:hint="eastAsia" w:ascii="楷体" w:hAnsi="楷体" w:eastAsia="楷体" w:cs="楷体"/>
          <w:sz w:val="28"/>
          <w:szCs w:val="28"/>
        </w:rPr>
        <w:t>推动</w:t>
      </w:r>
      <w:r>
        <w:rPr>
          <w:rFonts w:ascii="楷体" w:hAnsi="楷体" w:eastAsia="楷体" w:cs="楷体"/>
          <w:sz w:val="28"/>
          <w:szCs w:val="28"/>
        </w:rPr>
        <w:t>配套建设公共仓储和寄递服务设施。</w:t>
      </w:r>
    </w:p>
    <w:p>
      <w:pPr>
        <w:pStyle w:val="2"/>
        <w:keepNext w:val="0"/>
        <w:keepLines w:val="0"/>
        <w:pageBreakBefore w:val="0"/>
        <w:widowControl w:val="0"/>
        <w:kinsoku/>
        <w:wordWrap/>
        <w:overflowPunct/>
        <w:topLinePunct w:val="0"/>
        <w:autoSpaceDE/>
        <w:autoSpaceDN/>
        <w:bidi w:val="0"/>
        <w:adjustRightInd/>
        <w:snapToGrid/>
        <w:spacing w:line="580" w:lineRule="exact"/>
        <w:ind w:left="108" w:firstLine="643" w:firstLineChars="200"/>
        <w:textAlignment w:val="auto"/>
        <w:rPr>
          <w:rFonts w:ascii="仿宋_GB2312" w:hAnsi="仿宋_GB2312" w:eastAsia="仿宋_GB2312" w:cs="仿宋_GB2312"/>
        </w:rPr>
      </w:pPr>
      <w:r>
        <w:rPr>
          <w:rFonts w:hint="eastAsia" w:ascii="仿宋_GB2312" w:hAnsi="仿宋" w:eastAsia="仿宋_GB2312" w:cs="仿宋"/>
          <w:b/>
        </w:rPr>
        <w:t>加快发展跨境寄递。</w:t>
      </w:r>
      <w:r>
        <w:rPr>
          <w:rFonts w:hint="eastAsia" w:ascii="仿宋_GB2312" w:hAnsi="仿宋_GB2312" w:eastAsia="仿宋_GB2312" w:cs="仿宋_GB2312"/>
        </w:rPr>
        <w:t>完善进出境快件基础设施建设布局，加快建设合肥、芜湖快递类海关监管场所。支持合肥国际邮件互换局功能优化，协调推进通关一体化，提升通关效率。大力发展国际邮</w:t>
      </w:r>
      <w:r>
        <w:rPr>
          <w:rFonts w:hint="eastAsia" w:ascii="仿宋_GB2312" w:hAnsi="仿宋_GB2312" w:eastAsia="仿宋_GB2312" w:cs="仿宋_GB2312"/>
          <w:lang w:val="en-US" w:eastAsia="zh-CN"/>
        </w:rPr>
        <w:t>件</w:t>
      </w:r>
      <w:r>
        <w:rPr>
          <w:rFonts w:hint="eastAsia" w:ascii="仿宋_GB2312" w:hAnsi="仿宋_GB2312" w:eastAsia="仿宋_GB2312" w:cs="仿宋_GB2312"/>
        </w:rPr>
        <w:t>快件航空运输，支持企业加强国际干线自主航空能力建设，搭建国际运输通道。构建内畅外联的铁路寄递骨干网络，依托中欧班列为载体，构建通达欧洲、中亚、东南亚、</w:t>
      </w:r>
      <w:r>
        <w:rPr>
          <w:rFonts w:hint="eastAsia" w:ascii="仿宋_GB2312" w:hAnsi="仿宋_GB2312" w:eastAsia="仿宋_GB2312" w:cs="仿宋_GB2312"/>
          <w:lang w:val="en-US" w:bidi="ar-SA"/>
        </w:rPr>
        <w:t>南亚等国际邮件</w:t>
      </w:r>
      <w:r>
        <w:rPr>
          <w:rFonts w:hint="eastAsia" w:ascii="仿宋_GB2312" w:hAnsi="仿宋_GB2312" w:eastAsia="仿宋_GB2312" w:cs="仿宋_GB2312"/>
          <w:lang w:val="en-US" w:eastAsia="zh-CN" w:bidi="ar-SA"/>
        </w:rPr>
        <w:t>快件</w:t>
      </w:r>
      <w:r>
        <w:rPr>
          <w:rFonts w:hint="eastAsia" w:ascii="仿宋_GB2312" w:hAnsi="仿宋_GB2312" w:eastAsia="仿宋_GB2312" w:cs="仿宋_GB2312"/>
        </w:rPr>
        <w:t>铁路运输通道。</w:t>
      </w:r>
    </w:p>
    <w:p>
      <w:pPr>
        <w:pBdr>
          <w:top w:val="single" w:color="auto" w:sz="4" w:space="1"/>
          <w:left w:val="single" w:color="auto" w:sz="4" w:space="4"/>
          <w:bottom w:val="single" w:color="auto" w:sz="4" w:space="1"/>
          <w:right w:val="single" w:color="auto" w:sz="4" w:space="4"/>
        </w:pBdr>
        <w:spacing w:before="50" w:line="560" w:lineRule="exact"/>
        <w:ind w:firstLine="0" w:firstLineChars="0"/>
        <w:jc w:val="center"/>
        <w:rPr>
          <w:rFonts w:hint="eastAsia" w:ascii="黑体" w:hAnsi="黑体" w:eastAsia="黑体" w:cs="黑体"/>
          <w:sz w:val="32"/>
          <w:szCs w:val="32"/>
        </w:rPr>
      </w:pPr>
      <w:r>
        <w:rPr>
          <w:rFonts w:hint="eastAsia" w:ascii="黑体" w:hAnsi="黑体" w:eastAsia="黑体" w:cs="黑体"/>
          <w:sz w:val="32"/>
          <w:szCs w:val="32"/>
        </w:rPr>
        <w:t>专栏</w:t>
      </w:r>
      <w:r>
        <w:rPr>
          <w:rFonts w:hint="eastAsia" w:ascii="黑体" w:hAnsi="黑体" w:eastAsia="黑体" w:cs="黑体"/>
          <w:sz w:val="32"/>
          <w:szCs w:val="32"/>
          <w:lang w:val="en-US" w:eastAsia="zh-CN"/>
        </w:rPr>
        <w:t>6</w:t>
      </w:r>
      <w:r>
        <w:rPr>
          <w:rFonts w:hint="eastAsia" w:ascii="黑体" w:hAnsi="黑体" w:eastAsia="黑体" w:cs="黑体"/>
          <w:sz w:val="32"/>
          <w:szCs w:val="32"/>
        </w:rPr>
        <w:t xml:space="preserve"> “快递出海”工程</w:t>
      </w:r>
    </w:p>
    <w:p>
      <w:pPr>
        <w:pBdr>
          <w:top w:val="single" w:color="auto" w:sz="4" w:space="1"/>
          <w:left w:val="single" w:color="auto" w:sz="4" w:space="4"/>
          <w:bottom w:val="single" w:color="auto" w:sz="4" w:space="1"/>
          <w:right w:val="single" w:color="auto" w:sz="4" w:space="4"/>
        </w:pBdr>
        <w:spacing w:before="50" w:line="560" w:lineRule="exact"/>
        <w:ind w:firstLine="560" w:firstLineChars="200"/>
        <w:rPr>
          <w:rFonts w:ascii="楷体" w:hAnsi="楷体" w:eastAsia="楷体" w:cs="楷体"/>
          <w:sz w:val="28"/>
          <w:szCs w:val="28"/>
        </w:rPr>
      </w:pPr>
      <w:r>
        <w:rPr>
          <w:rFonts w:hint="eastAsia" w:ascii="楷体" w:hAnsi="楷体" w:eastAsia="楷体" w:cs="仿宋_GB2312"/>
          <w:sz w:val="28"/>
          <w:szCs w:val="28"/>
        </w:rPr>
        <w:t>支持合肥、芜湖快递类海关监管场所及合肥国际航空货运集散中心建设，支持芜湖（京东）全球航空货运枢纽建设，支持在安徽自贸试验区、跨境电商综合试验区城市建设国际邮件互换局和快递类海关监管场所。引导邮政、快递企业依托跨境产业集聚区等建设国际邮件快件处理中心、集散节点，提升国际邮件快件中转和处理能力。鼓励国内外知名快递物流企业进驻机场，扩大国际航空货运业务规模。</w:t>
      </w:r>
    </w:p>
    <w:p>
      <w:pPr>
        <w:pStyle w:val="18"/>
        <w:pageBreakBefore w:val="0"/>
        <w:widowControl w:val="0"/>
        <w:kinsoku/>
        <w:wordWrap/>
        <w:overflowPunct/>
        <w:topLinePunct w:val="0"/>
        <w:autoSpaceDE/>
        <w:autoSpaceDN/>
        <w:bidi w:val="0"/>
        <w:adjustRightInd/>
        <w:snapToGrid/>
        <w:spacing w:beforeLines="0" w:afterLines="0" w:line="580" w:lineRule="exact"/>
        <w:ind w:firstLine="643"/>
        <w:textAlignment w:val="auto"/>
        <w:rPr>
          <w:rFonts w:ascii="楷体_GB2312" w:eastAsia="楷体_GB2312"/>
          <w:b w:val="0"/>
          <w:bCs/>
          <w:color w:val="auto"/>
        </w:rPr>
      </w:pPr>
      <w:bookmarkStart w:id="20" w:name="_Toc81238292"/>
      <w:r>
        <w:rPr>
          <w:rFonts w:hint="eastAsia" w:ascii="楷体_GB2312" w:eastAsia="楷体_GB2312"/>
          <w:b w:val="0"/>
          <w:bCs/>
        </w:rPr>
        <w:t>（四）加快培育区域</w:t>
      </w:r>
      <w:r>
        <w:rPr>
          <w:rFonts w:hint="eastAsia" w:ascii="楷体_GB2312" w:eastAsia="楷体_GB2312"/>
          <w:b w:val="0"/>
          <w:bCs/>
          <w:color w:val="auto"/>
        </w:rPr>
        <w:t>市场优势</w:t>
      </w:r>
      <w:bookmarkEnd w:id="20"/>
    </w:p>
    <w:p>
      <w:pPr>
        <w:pageBreakBefore w:val="0"/>
        <w:widowControl w:val="0"/>
        <w:kinsoku/>
        <w:wordWrap/>
        <w:overflowPunct/>
        <w:topLinePunct w:val="0"/>
        <w:autoSpaceDE/>
        <w:autoSpaceDN/>
        <w:bidi w:val="0"/>
        <w:adjustRightInd/>
        <w:snapToGrid/>
        <w:spacing w:line="580" w:lineRule="exact"/>
        <w:ind w:firstLine="643" w:firstLineChars="200"/>
        <w:textAlignment w:val="auto"/>
        <w:rPr>
          <w:rFonts w:ascii="仿宋_GB2312" w:hAnsi="仿宋_GB2312" w:eastAsia="仿宋_GB2312" w:cs="仿宋_GB2312"/>
          <w:color w:val="auto"/>
          <w:sz w:val="32"/>
          <w:szCs w:val="32"/>
        </w:rPr>
      </w:pPr>
      <w:r>
        <w:rPr>
          <w:rFonts w:hint="eastAsia" w:ascii="仿宋_GB2312" w:hAnsi="仿宋" w:eastAsia="仿宋_GB2312"/>
          <w:b/>
          <w:color w:val="auto"/>
          <w:sz w:val="32"/>
          <w:szCs w:val="32"/>
        </w:rPr>
        <w:t>培育壮大市场主体。</w:t>
      </w:r>
      <w:r>
        <w:rPr>
          <w:rFonts w:hint="eastAsia" w:ascii="仿宋_GB2312" w:hAnsi="仿宋_GB2312" w:eastAsia="仿宋_GB2312" w:cs="仿宋_GB2312"/>
          <w:color w:val="auto"/>
          <w:sz w:val="32"/>
          <w:szCs w:val="32"/>
        </w:rPr>
        <w:t>引导企业健全现代企业制度，完善公司治理结构，优化内部管理和利益分配机制。支持品牌企业在皖设立供应链中心、采购中心、结算中心、客服中心和区域中心等功能总部和区域总部。引导企业加大运力基础设施投入，支持有实力的企业在皖建设货运基地，提升航空、铁路等综合运能。鼓励企业深挖细分市场潜力，推动形成多元主体竞合的市场格局。</w:t>
      </w:r>
    </w:p>
    <w:p>
      <w:pPr>
        <w:pageBreakBefore w:val="0"/>
        <w:widowControl w:val="0"/>
        <w:kinsoku/>
        <w:wordWrap/>
        <w:overflowPunct/>
        <w:topLinePunct w:val="0"/>
        <w:autoSpaceDE/>
        <w:autoSpaceDN/>
        <w:bidi w:val="0"/>
        <w:adjustRightInd/>
        <w:snapToGrid/>
        <w:spacing w:line="580" w:lineRule="exact"/>
        <w:ind w:firstLine="643" w:firstLineChars="200"/>
        <w:textAlignment w:val="auto"/>
        <w:rPr>
          <w:color w:val="auto"/>
        </w:rPr>
      </w:pPr>
      <w:r>
        <w:rPr>
          <w:rFonts w:hint="eastAsia" w:ascii="仿宋_GB2312" w:hAnsi="仿宋" w:eastAsia="仿宋_GB2312" w:cs="仿宋"/>
          <w:b/>
          <w:bCs/>
          <w:color w:val="auto"/>
          <w:sz w:val="32"/>
          <w:szCs w:val="32"/>
        </w:rPr>
        <w:t>推动融入长三角发展。</w:t>
      </w:r>
      <w:r>
        <w:rPr>
          <w:rFonts w:hint="eastAsia" w:ascii="仿宋_GB2312" w:hAnsi="仿宋_GB2312" w:eastAsia="仿宋_GB2312" w:cs="仿宋_GB2312"/>
          <w:color w:val="auto"/>
          <w:sz w:val="32"/>
          <w:szCs w:val="32"/>
        </w:rPr>
        <w:t>鼓励</w:t>
      </w:r>
      <w:r>
        <w:rPr>
          <w:rFonts w:hint="eastAsia" w:ascii="仿宋_GB2312" w:eastAsia="仿宋_GB2312"/>
          <w:color w:val="auto"/>
          <w:sz w:val="32"/>
          <w:szCs w:val="32"/>
        </w:rPr>
        <w:t>沪苏浙</w:t>
      </w:r>
      <w:r>
        <w:rPr>
          <w:rFonts w:hint="eastAsia" w:ascii="仿宋_GB2312" w:hAnsi="仿宋_GB2312" w:eastAsia="仿宋_GB2312" w:cs="仿宋_GB2312"/>
          <w:color w:val="auto"/>
          <w:sz w:val="32"/>
          <w:szCs w:val="32"/>
        </w:rPr>
        <w:t>邮政快递企业在皖开展基础设施、干支线运输、网络网点、快件揽投</w:t>
      </w:r>
      <w:r>
        <w:rPr>
          <w:rFonts w:hint="eastAsia" w:ascii="仿宋_GB2312" w:eastAsia="仿宋_GB2312"/>
          <w:color w:val="auto"/>
          <w:sz w:val="32"/>
          <w:szCs w:val="32"/>
        </w:rPr>
        <w:t>、应急物资运输</w:t>
      </w:r>
      <w:r>
        <w:rPr>
          <w:rFonts w:hint="eastAsia" w:ascii="仿宋_GB2312" w:hAnsi="仿宋_GB2312" w:eastAsia="仿宋_GB2312" w:cs="仿宋_GB2312"/>
          <w:color w:val="auto"/>
          <w:sz w:val="32"/>
          <w:szCs w:val="32"/>
        </w:rPr>
        <w:t>等各方面合作。加大</w:t>
      </w:r>
      <w:r>
        <w:rPr>
          <w:rFonts w:ascii="仿宋_GB2312" w:hAnsi="仿宋_GB2312" w:eastAsia="仿宋_GB2312" w:cs="仿宋_GB2312"/>
          <w:color w:val="auto"/>
          <w:sz w:val="32"/>
          <w:szCs w:val="32"/>
        </w:rPr>
        <w:t>双招双引力度，</w:t>
      </w:r>
      <w:r>
        <w:rPr>
          <w:rFonts w:hint="eastAsia" w:ascii="仿宋_GB2312" w:hAnsi="仿宋_GB2312" w:eastAsia="仿宋_GB2312" w:cs="仿宋_GB2312"/>
          <w:color w:val="auto"/>
          <w:sz w:val="32"/>
          <w:szCs w:val="32"/>
        </w:rPr>
        <w:t>统筹推进总部经济和枢纽经济发展，引进快递企业区域性总部落户安徽，</w:t>
      </w:r>
      <w:r>
        <w:rPr>
          <w:rFonts w:hint="eastAsia" w:ascii="仿宋_GB2312" w:eastAsia="仿宋_GB2312"/>
          <w:color w:val="auto"/>
          <w:sz w:val="32"/>
          <w:szCs w:val="32"/>
        </w:rPr>
        <w:t>与各市开展战略合作，拓展合作空间。支持邮政业助力安徽省更好承接产业转移，</w:t>
      </w:r>
      <w:r>
        <w:rPr>
          <w:rFonts w:hint="eastAsia" w:ascii="仿宋_GB2312" w:hAnsi="仿宋_GB2312" w:eastAsia="仿宋_GB2312" w:cs="仿宋_GB2312"/>
          <w:color w:val="auto"/>
          <w:sz w:val="32"/>
          <w:szCs w:val="32"/>
        </w:rPr>
        <w:t>建立信息共享机制。参与长三角标准化体系建设，搭建区域合作平台，打造专业化、高效率、低成本邮政快递体系。</w:t>
      </w:r>
    </w:p>
    <w:p>
      <w:pPr>
        <w:pStyle w:val="18"/>
        <w:pageBreakBefore w:val="0"/>
        <w:widowControl w:val="0"/>
        <w:kinsoku/>
        <w:wordWrap/>
        <w:overflowPunct/>
        <w:topLinePunct w:val="0"/>
        <w:autoSpaceDE/>
        <w:autoSpaceDN/>
        <w:bidi w:val="0"/>
        <w:adjustRightInd/>
        <w:snapToGrid/>
        <w:spacing w:beforeLines="0" w:afterLines="0" w:line="580" w:lineRule="exact"/>
        <w:ind w:firstLine="643"/>
        <w:textAlignment w:val="auto"/>
        <w:rPr>
          <w:rFonts w:ascii="楷体_GB2312" w:eastAsia="楷体_GB2312"/>
          <w:b w:val="0"/>
          <w:bCs/>
          <w:color w:val="auto"/>
        </w:rPr>
      </w:pPr>
      <w:bookmarkStart w:id="21" w:name="_Toc41894805"/>
      <w:bookmarkStart w:id="22" w:name="_Toc81238293"/>
      <w:r>
        <w:rPr>
          <w:rFonts w:hint="eastAsia" w:ascii="楷体_GB2312" w:eastAsia="楷体_GB2312"/>
          <w:b w:val="0"/>
          <w:bCs/>
          <w:color w:val="auto"/>
        </w:rPr>
        <w:t>（五）推进行业实现</w:t>
      </w:r>
      <w:bookmarkEnd w:id="21"/>
      <w:r>
        <w:rPr>
          <w:rFonts w:hint="eastAsia" w:ascii="楷体_GB2312" w:eastAsia="楷体_GB2312"/>
          <w:b w:val="0"/>
          <w:bCs/>
          <w:color w:val="auto"/>
        </w:rPr>
        <w:t>科技创新</w:t>
      </w:r>
      <w:bookmarkEnd w:id="22"/>
    </w:p>
    <w:p>
      <w:pPr>
        <w:pageBreakBefore w:val="0"/>
        <w:widowControl w:val="0"/>
        <w:kinsoku/>
        <w:wordWrap/>
        <w:overflowPunct/>
        <w:topLinePunct w:val="0"/>
        <w:autoSpaceDE/>
        <w:autoSpaceDN/>
        <w:bidi w:val="0"/>
        <w:adjustRightInd/>
        <w:snapToGrid/>
        <w:spacing w:line="580" w:lineRule="exact"/>
        <w:ind w:firstLine="641"/>
        <w:textAlignment w:val="auto"/>
        <w:rPr>
          <w:rFonts w:ascii="仿宋_GB2312" w:hAnsi="仿宋_GB2312" w:eastAsia="仿宋_GB2312" w:cs="仿宋_GB2312"/>
          <w:color w:val="auto"/>
          <w:sz w:val="32"/>
          <w:szCs w:val="32"/>
        </w:rPr>
      </w:pPr>
      <w:r>
        <w:rPr>
          <w:rFonts w:hint="eastAsia" w:ascii="仿宋_GB2312" w:hAnsi="仿宋" w:eastAsia="仿宋_GB2312" w:cs="仿宋_GB2312"/>
          <w:b/>
          <w:color w:val="auto"/>
          <w:sz w:val="32"/>
          <w:szCs w:val="32"/>
        </w:rPr>
        <w:t>加强科技创新应用。</w:t>
      </w:r>
      <w:r>
        <w:rPr>
          <w:rFonts w:hint="eastAsia" w:ascii="仿宋_GB2312" w:hAnsi="仿宋_GB2312" w:eastAsia="仿宋_GB2312" w:cs="仿宋_GB2312"/>
          <w:color w:val="auto"/>
          <w:sz w:val="32"/>
          <w:szCs w:val="32"/>
        </w:rPr>
        <w:t>鼓励智能装备升级换代，推动自动分拣设备向县区二级处理中心下沉，推动智能分拣仓建设应用。加强“绿盾”工程建设，提升行业安全监管信息化水平。加快智能安监系统、智能视频监控系统、智能语音申投诉处理系统、通用寄递地址编码等产品推广应用。推进人工智能、大数据、无人机、</w:t>
      </w:r>
      <w:r>
        <w:rPr>
          <w:rFonts w:ascii="仿宋_GB2312" w:hAnsi="仿宋_GB2312" w:eastAsia="仿宋_GB2312" w:cs="仿宋_GB2312"/>
          <w:color w:val="auto"/>
          <w:sz w:val="32"/>
          <w:szCs w:val="32"/>
        </w:rPr>
        <w:t>5G、物联网、</w:t>
      </w:r>
      <w:r>
        <w:rPr>
          <w:rFonts w:hint="eastAsia" w:ascii="仿宋_GB2312" w:hAnsi="仿宋_GB2312" w:eastAsia="仿宋_GB2312" w:cs="仿宋_GB2312"/>
          <w:color w:val="auto"/>
          <w:sz w:val="32"/>
          <w:szCs w:val="32"/>
        </w:rPr>
        <w:t>北斗导航系统</w:t>
      </w:r>
      <w:r>
        <w:rPr>
          <w:rFonts w:ascii="仿宋_GB2312" w:hAnsi="仿宋_GB2312" w:eastAsia="仿宋_GB2312" w:cs="仿宋_GB2312"/>
          <w:color w:val="auto"/>
          <w:sz w:val="32"/>
          <w:szCs w:val="32"/>
        </w:rPr>
        <w:t>等先进技术转化应用</w:t>
      </w:r>
      <w:r>
        <w:rPr>
          <w:rFonts w:hint="eastAsia" w:ascii="仿宋_GB2312" w:hAnsi="仿宋_GB2312" w:eastAsia="仿宋_GB2312" w:cs="仿宋_GB2312"/>
          <w:color w:val="auto"/>
          <w:sz w:val="32"/>
          <w:szCs w:val="32"/>
        </w:rPr>
        <w:t>，</w:t>
      </w:r>
      <w:r>
        <w:rPr>
          <w:rFonts w:ascii="仿宋_GB2312" w:hAnsi="仿宋_GB2312" w:eastAsia="仿宋_GB2312" w:cs="仿宋_GB2312"/>
          <w:color w:val="auto"/>
          <w:sz w:val="32"/>
          <w:szCs w:val="32"/>
        </w:rPr>
        <w:t>完善数字化、可视化、智能化寄递网络</w:t>
      </w:r>
      <w:r>
        <w:rPr>
          <w:rFonts w:hint="eastAsia" w:ascii="仿宋_GB2312" w:hAnsi="仿宋_GB2312" w:eastAsia="仿宋_GB2312" w:cs="仿宋_GB2312"/>
          <w:color w:val="auto"/>
          <w:sz w:val="32"/>
          <w:szCs w:val="32"/>
        </w:rPr>
        <w:t>。</w:t>
      </w:r>
    </w:p>
    <w:p>
      <w:pPr>
        <w:pStyle w:val="18"/>
        <w:pageBreakBefore w:val="0"/>
        <w:widowControl w:val="0"/>
        <w:kinsoku/>
        <w:wordWrap/>
        <w:overflowPunct/>
        <w:topLinePunct w:val="0"/>
        <w:autoSpaceDE/>
        <w:autoSpaceDN/>
        <w:bidi w:val="0"/>
        <w:adjustRightInd/>
        <w:snapToGrid/>
        <w:spacing w:beforeLines="0" w:afterLines="0" w:line="580" w:lineRule="exact"/>
        <w:ind w:firstLine="643"/>
        <w:textAlignment w:val="auto"/>
        <w:outlineLvl w:val="9"/>
        <w:rPr>
          <w:rFonts w:ascii="仿宋_GB2312" w:hAnsi="仿宋_GB2312" w:eastAsia="仿宋_GB2312" w:cs="仿宋_GB2312"/>
          <w:color w:val="auto"/>
        </w:rPr>
      </w:pPr>
      <w:r>
        <w:rPr>
          <w:rFonts w:hint="eastAsia" w:ascii="仿宋_GB2312" w:hAnsi="仿宋" w:eastAsia="仿宋_GB2312" w:cs="仿宋_GB2312"/>
          <w:b/>
          <w:color w:val="auto"/>
        </w:rPr>
        <w:t>加强科技创新孵化投入。</w:t>
      </w:r>
      <w:r>
        <w:rPr>
          <w:rFonts w:ascii="仿宋_GB2312" w:hAnsi="仿宋_GB2312" w:eastAsia="仿宋_GB2312" w:cs="仿宋_GB2312"/>
          <w:color w:val="auto"/>
        </w:rPr>
        <w:t>支持快递物流智能装备产业发展，</w:t>
      </w:r>
      <w:r>
        <w:rPr>
          <w:rFonts w:hint="eastAsia" w:ascii="仿宋_GB2312" w:hAnsi="仿宋_GB2312" w:eastAsia="仿宋_GB2312" w:cs="仿宋_GB2312"/>
          <w:color w:val="auto"/>
        </w:rPr>
        <w:t>积极壮大芜湖（南陵）全国快递科技创新试验基地产业链条，建立基地人才保障机制，加大科技创新政策扶持力度。发挥国家邮政局合肥灾备中心、南陵县快递科创基地等现有资源优势，吸引快递物流品牌企业、科研机构等来皖设立研发基地，创建若干“国字号”科创载体和论坛。加大企业自身科研投入，建立以财政投入为引导的多元化科技投入体系。</w:t>
      </w:r>
    </w:p>
    <w:p>
      <w:pPr>
        <w:pStyle w:val="18"/>
        <w:pageBreakBefore w:val="0"/>
        <w:widowControl w:val="0"/>
        <w:kinsoku/>
        <w:wordWrap/>
        <w:overflowPunct/>
        <w:topLinePunct w:val="0"/>
        <w:autoSpaceDE/>
        <w:autoSpaceDN/>
        <w:bidi w:val="0"/>
        <w:adjustRightInd/>
        <w:snapToGrid/>
        <w:spacing w:beforeLines="0" w:afterLines="0" w:line="580" w:lineRule="exact"/>
        <w:ind w:firstLine="643"/>
        <w:textAlignment w:val="auto"/>
        <w:rPr>
          <w:rFonts w:ascii="楷体_GB2312" w:eastAsia="楷体_GB2312"/>
          <w:b w:val="0"/>
          <w:bCs/>
          <w:color w:val="auto"/>
        </w:rPr>
      </w:pPr>
      <w:bookmarkStart w:id="23" w:name="_Toc81238294"/>
      <w:r>
        <w:rPr>
          <w:rFonts w:hint="eastAsia" w:ascii="楷体_GB2312" w:eastAsia="楷体_GB2312"/>
          <w:b w:val="0"/>
          <w:bCs/>
          <w:color w:val="auto"/>
        </w:rPr>
        <w:t>（六）持续优化行业发展环境</w:t>
      </w:r>
      <w:bookmarkEnd w:id="23"/>
    </w:p>
    <w:p>
      <w:pPr>
        <w:pageBreakBefore w:val="0"/>
        <w:widowControl w:val="0"/>
        <w:kinsoku/>
        <w:wordWrap/>
        <w:overflowPunct/>
        <w:topLinePunct w:val="0"/>
        <w:autoSpaceDE/>
        <w:autoSpaceDN/>
        <w:bidi w:val="0"/>
        <w:adjustRightInd/>
        <w:snapToGrid/>
        <w:spacing w:line="580" w:lineRule="exact"/>
        <w:ind w:firstLine="643"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鼓励开展制度创新。</w:t>
      </w:r>
      <w:r>
        <w:rPr>
          <w:rFonts w:hint="eastAsia" w:ascii="仿宋_GB2312" w:hAnsi="仿宋_GB2312" w:eastAsia="仿宋_GB2312" w:cs="仿宋_GB2312"/>
          <w:color w:val="auto"/>
          <w:sz w:val="32"/>
          <w:szCs w:val="32"/>
        </w:rPr>
        <w:t>围绕“一带一路”建设、长江经济带、长三角一体化发展、</w:t>
      </w:r>
      <w:r>
        <w:rPr>
          <w:rFonts w:hint="eastAsia" w:ascii="仿宋_GB2312" w:hAnsi="仿宋_GB2312" w:eastAsia="仿宋_GB2312" w:cs="仿宋_GB2312"/>
          <w:color w:val="auto"/>
          <w:sz w:val="32"/>
          <w:szCs w:val="32"/>
          <w:lang w:val="en-US" w:eastAsia="zh-CN"/>
        </w:rPr>
        <w:t>中部地区高质量发展、</w:t>
      </w:r>
      <w:r>
        <w:rPr>
          <w:rFonts w:hint="eastAsia" w:ascii="仿宋_GB2312" w:hAnsi="仿宋_GB2312" w:eastAsia="仿宋_GB2312" w:cs="仿宋_GB2312"/>
          <w:color w:val="auto"/>
          <w:sz w:val="32"/>
          <w:szCs w:val="32"/>
        </w:rPr>
        <w:t>乡村振兴等国家战略，积极出台与沪苏浙融</w:t>
      </w:r>
      <w:r>
        <w:rPr>
          <w:rFonts w:hint="eastAsia" w:ascii="仿宋_GB2312" w:eastAsia="仿宋_GB2312"/>
          <w:color w:val="auto"/>
          <w:sz w:val="32"/>
          <w:szCs w:val="32"/>
        </w:rPr>
        <w:t>合发展和服务安徽自贸试验区建设的相关政策。持续推动中央与地方财政事权和支出责任划分改革</w:t>
      </w:r>
      <w:r>
        <w:rPr>
          <w:rFonts w:ascii="仿宋_GB2312" w:hAnsi="仿宋_GB2312" w:eastAsia="仿宋_GB2312" w:cs="仿宋_GB2312"/>
          <w:color w:val="auto"/>
          <w:sz w:val="32"/>
          <w:szCs w:val="32"/>
        </w:rPr>
        <w:t>落地</w:t>
      </w:r>
      <w:r>
        <w:rPr>
          <w:rFonts w:hint="eastAsia" w:ascii="仿宋_GB2312" w:hAnsi="仿宋_GB2312" w:eastAsia="仿宋_GB2312" w:cs="仿宋_GB2312"/>
          <w:color w:val="auto"/>
          <w:sz w:val="32"/>
          <w:szCs w:val="32"/>
        </w:rPr>
        <w:t>，加快完善与高质量发展和高效能治理相适应的邮政事业、快递产业发展政策体系、监管制度体系和评价体系。坚持信用信息共享，强化信用监管。</w:t>
      </w:r>
    </w:p>
    <w:p>
      <w:pPr>
        <w:pageBreakBefore w:val="0"/>
        <w:widowControl w:val="0"/>
        <w:kinsoku/>
        <w:wordWrap/>
        <w:overflowPunct/>
        <w:topLinePunct w:val="0"/>
        <w:autoSpaceDE/>
        <w:autoSpaceDN/>
        <w:bidi w:val="0"/>
        <w:adjustRightInd/>
        <w:snapToGrid/>
        <w:spacing w:line="580" w:lineRule="exact"/>
        <w:ind w:firstLine="643" w:firstLineChars="200"/>
        <w:textAlignment w:val="auto"/>
        <w:rPr>
          <w:rFonts w:ascii="仿宋_GB2312" w:hAnsi="仿宋_GB2312" w:eastAsia="仿宋_GB2312" w:cs="仿宋_GB2312"/>
          <w:color w:val="auto"/>
          <w:sz w:val="32"/>
          <w:szCs w:val="32"/>
        </w:rPr>
      </w:pPr>
      <w:r>
        <w:rPr>
          <w:rFonts w:hint="eastAsia" w:ascii="仿宋_GB2312" w:hAnsi="仿宋" w:eastAsia="仿宋_GB2312" w:cs="仿宋_GB2312"/>
          <w:b/>
          <w:bCs/>
          <w:color w:val="auto"/>
          <w:sz w:val="32"/>
          <w:szCs w:val="32"/>
        </w:rPr>
        <w:t>不断优化政务服务。</w:t>
      </w:r>
      <w:r>
        <w:rPr>
          <w:rFonts w:hint="eastAsia" w:ascii="仿宋_GB2312" w:hAnsi="仿宋_GB2312" w:eastAsia="仿宋_GB2312" w:cs="仿宋_GB2312"/>
          <w:color w:val="auto"/>
          <w:sz w:val="32"/>
          <w:szCs w:val="32"/>
        </w:rPr>
        <w:t>全面深化“放管服”改革，强化事中事后监管，持续推进“双随机、一公开”监管，实施“一单两库”动态管理，切实提高监管的针对性、有效性。拓宽许可申请信息化受理渠道，实行网上全程办理，精简快递企业分支机构和末端网点备案手续。</w:t>
      </w:r>
    </w:p>
    <w:p>
      <w:pPr>
        <w:pStyle w:val="18"/>
        <w:pageBreakBefore w:val="0"/>
        <w:widowControl w:val="0"/>
        <w:kinsoku/>
        <w:wordWrap/>
        <w:overflowPunct/>
        <w:topLinePunct w:val="0"/>
        <w:autoSpaceDE/>
        <w:autoSpaceDN/>
        <w:bidi w:val="0"/>
        <w:adjustRightInd/>
        <w:snapToGrid/>
        <w:spacing w:beforeLines="0" w:afterLines="0" w:line="580" w:lineRule="exact"/>
        <w:ind w:firstLine="643"/>
        <w:textAlignment w:val="auto"/>
        <w:rPr>
          <w:rFonts w:ascii="楷体_GB2312" w:eastAsia="楷体_GB2312"/>
          <w:b w:val="0"/>
          <w:bCs/>
          <w:color w:val="auto"/>
        </w:rPr>
      </w:pPr>
      <w:bookmarkStart w:id="24" w:name="_Toc81238295"/>
      <w:r>
        <w:rPr>
          <w:rFonts w:hint="eastAsia" w:ascii="楷体_GB2312" w:eastAsia="楷体_GB2312"/>
          <w:b w:val="0"/>
          <w:bCs/>
          <w:color w:val="auto"/>
        </w:rPr>
        <w:t>（七）提高行业监管治理能力</w:t>
      </w:r>
      <w:bookmarkEnd w:id="24"/>
    </w:p>
    <w:p>
      <w:pPr>
        <w:pageBreakBefore w:val="0"/>
        <w:widowControl w:val="0"/>
        <w:kinsoku/>
        <w:wordWrap/>
        <w:overflowPunct/>
        <w:topLinePunct w:val="0"/>
        <w:autoSpaceDE/>
        <w:autoSpaceDN/>
        <w:bidi w:val="0"/>
        <w:adjustRightInd/>
        <w:snapToGrid/>
        <w:spacing w:line="580" w:lineRule="exact"/>
        <w:ind w:firstLine="643"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完善三级监管体系建设。</w:t>
      </w:r>
      <w:r>
        <w:rPr>
          <w:rFonts w:hint="eastAsia" w:ascii="仿宋_GB2312" w:hAnsi="仿宋_GB2312" w:eastAsia="仿宋_GB2312" w:cs="仿宋_GB2312"/>
          <w:color w:val="auto"/>
          <w:sz w:val="32"/>
          <w:szCs w:val="32"/>
        </w:rPr>
        <w:t>进一步完善省、市、县（区）三级行业监管体系。不断壮大监管执法队伍，强化业务培训，提升监管执法能力，全面开展行政执法委托。建立寄递安全风险防控和隐患排查</w:t>
      </w:r>
      <w:r>
        <w:rPr>
          <w:rFonts w:ascii="仿宋_GB2312" w:hAnsi="仿宋_GB2312" w:eastAsia="仿宋_GB2312" w:cs="仿宋_GB2312"/>
          <w:color w:val="auto"/>
          <w:sz w:val="32"/>
          <w:szCs w:val="32"/>
        </w:rPr>
        <w:t>体系</w:t>
      </w:r>
      <w:r>
        <w:rPr>
          <w:rFonts w:hint="eastAsia" w:ascii="仿宋_GB2312" w:hAnsi="仿宋_GB2312" w:eastAsia="仿宋_GB2312" w:cs="仿宋_GB2312"/>
          <w:color w:val="auto"/>
          <w:sz w:val="32"/>
          <w:szCs w:val="32"/>
        </w:rPr>
        <w:t>。全面开展“绿盾”工程组网建设，实现主要分拣处理中心安检设备联网监控全覆盖。推进行业智能语音申投诉处理系统研发应用。打造</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数字邮管</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，推动发展</w:t>
      </w:r>
      <w:r>
        <w:rPr>
          <w:rFonts w:ascii="仿宋_GB2312" w:hAnsi="仿宋_GB2312" w:eastAsia="仿宋_GB2312" w:cs="仿宋_GB2312"/>
          <w:color w:val="auto"/>
          <w:sz w:val="32"/>
          <w:szCs w:val="32"/>
        </w:rPr>
        <w:t>数字化全流程协同监管</w:t>
      </w:r>
      <w:r>
        <w:rPr>
          <w:rFonts w:hint="eastAsia" w:ascii="仿宋_GB2312" w:hAnsi="仿宋_GB2312" w:eastAsia="仿宋_GB2312" w:cs="仿宋_GB2312"/>
          <w:color w:val="auto"/>
          <w:sz w:val="32"/>
          <w:szCs w:val="32"/>
        </w:rPr>
        <w:t>。提升执法</w:t>
      </w:r>
      <w:r>
        <w:rPr>
          <w:rFonts w:ascii="仿宋_GB2312" w:hAnsi="仿宋_GB2312" w:eastAsia="仿宋_GB2312" w:cs="仿宋_GB2312"/>
          <w:color w:val="auto"/>
          <w:sz w:val="32"/>
          <w:szCs w:val="32"/>
        </w:rPr>
        <w:t>智能化水平，推进在线监管和非现场执法</w:t>
      </w:r>
      <w:r>
        <w:rPr>
          <w:rFonts w:hint="eastAsia" w:ascii="仿宋_GB2312" w:hAnsi="仿宋_GB2312" w:eastAsia="仿宋_GB2312" w:cs="仿宋_GB2312"/>
          <w:color w:val="auto"/>
          <w:sz w:val="32"/>
          <w:szCs w:val="32"/>
        </w:rPr>
        <w:t>模式</w:t>
      </w:r>
      <w:r>
        <w:rPr>
          <w:rFonts w:ascii="仿宋_GB2312" w:hAnsi="仿宋_GB2312" w:eastAsia="仿宋_GB2312" w:cs="仿宋_GB2312"/>
          <w:color w:val="auto"/>
          <w:sz w:val="32"/>
          <w:szCs w:val="32"/>
        </w:rPr>
        <w:t>。</w:t>
      </w:r>
    </w:p>
    <w:p>
      <w:pPr>
        <w:pageBreakBefore w:val="0"/>
        <w:widowControl w:val="0"/>
        <w:kinsoku/>
        <w:wordWrap/>
        <w:overflowPunct/>
        <w:topLinePunct w:val="0"/>
        <w:autoSpaceDE/>
        <w:autoSpaceDN/>
        <w:bidi w:val="0"/>
        <w:adjustRightInd/>
        <w:snapToGrid/>
        <w:spacing w:line="580" w:lineRule="exact"/>
        <w:ind w:firstLine="643" w:firstLineChars="200"/>
        <w:textAlignment w:val="auto"/>
        <w:rPr>
          <w:rFonts w:ascii="仿宋_GB2312" w:hAnsi="仿宋_GB2312" w:eastAsia="仿宋_GB2312" w:cs="仿宋_GB2312"/>
          <w:color w:val="auto"/>
          <w:sz w:val="32"/>
          <w:szCs w:val="32"/>
        </w:rPr>
      </w:pPr>
      <w:r>
        <w:rPr>
          <w:rFonts w:hint="eastAsia" w:ascii="仿宋_GB2312" w:hAnsi="仿宋" w:eastAsia="仿宋_GB2312" w:cs="仿宋_GB2312"/>
          <w:b/>
          <w:color w:val="auto"/>
          <w:sz w:val="32"/>
          <w:szCs w:val="32"/>
        </w:rPr>
        <w:t>提升安全监管治理水平。</w:t>
      </w:r>
      <w:r>
        <w:rPr>
          <w:rFonts w:hint="eastAsia" w:ascii="仿宋_GB2312" w:hAnsi="仿宋_GB2312" w:eastAsia="仿宋_GB2312" w:cs="仿宋_GB2312"/>
          <w:color w:val="auto"/>
          <w:sz w:val="32"/>
          <w:szCs w:val="32"/>
        </w:rPr>
        <w:t>充分发挥各级寄递渠道安全管理领导小组协调机制作用，强化企业主体责任、部门监管责任和属地管理责任落实，建设“平安安徽”。加强从业人员职业技能、安全防范教育培训。</w:t>
      </w:r>
      <w:r>
        <w:rPr>
          <w:rFonts w:hint="eastAsia" w:ascii="仿宋_GB2312" w:eastAsia="仿宋_GB2312"/>
          <w:color w:val="auto"/>
          <w:sz w:val="32"/>
          <w:szCs w:val="32"/>
        </w:rPr>
        <w:t>积极推动行业安全类新产品新技术在安徽试点应用，更高水平落实</w:t>
      </w:r>
      <w:r>
        <w:rPr>
          <w:rFonts w:hint="eastAsia" w:ascii="仿宋_GB2312" w:eastAsia="仿宋_GB2312" w:hAnsiTheme="minorHAnsi" w:cstheme="minorBidi"/>
          <w:color w:val="auto"/>
          <w:sz w:val="32"/>
          <w:szCs w:val="32"/>
          <w:highlight w:val="none"/>
          <w:lang w:val="en-US" w:bidi="ar-SA"/>
        </w:rPr>
        <w:t>“收寄验视、实名收寄、过机安检”</w:t>
      </w:r>
      <w:r>
        <w:rPr>
          <w:rFonts w:hint="eastAsia" w:ascii="仿宋_GB2312" w:eastAsia="仿宋_GB2312"/>
          <w:color w:val="auto"/>
          <w:sz w:val="32"/>
          <w:szCs w:val="32"/>
        </w:rPr>
        <w:t>三项制度，</w:t>
      </w:r>
      <w:r>
        <w:rPr>
          <w:rFonts w:ascii="仿宋_GB2312" w:eastAsia="仿宋_GB2312"/>
          <w:color w:val="auto"/>
          <w:sz w:val="32"/>
          <w:szCs w:val="32"/>
        </w:rPr>
        <w:t>推进设施</w:t>
      </w:r>
      <w:r>
        <w:rPr>
          <w:rFonts w:hint="eastAsia" w:ascii="仿宋_GB2312" w:eastAsia="仿宋_GB2312"/>
          <w:color w:val="auto"/>
          <w:sz w:val="32"/>
          <w:szCs w:val="32"/>
        </w:rPr>
        <w:t>设备</w:t>
      </w:r>
      <w:r>
        <w:rPr>
          <w:rFonts w:ascii="仿宋_GB2312" w:eastAsia="仿宋_GB2312"/>
          <w:color w:val="auto"/>
          <w:sz w:val="32"/>
          <w:szCs w:val="32"/>
        </w:rPr>
        <w:t>和</w:t>
      </w:r>
      <w:r>
        <w:rPr>
          <w:rFonts w:hint="eastAsia" w:ascii="仿宋_GB2312" w:eastAsia="仿宋_GB2312"/>
          <w:color w:val="auto"/>
          <w:sz w:val="32"/>
          <w:szCs w:val="32"/>
        </w:rPr>
        <w:t>场所</w:t>
      </w:r>
      <w:r>
        <w:rPr>
          <w:rFonts w:ascii="仿宋_GB2312" w:eastAsia="仿宋_GB2312"/>
          <w:color w:val="auto"/>
          <w:sz w:val="32"/>
          <w:szCs w:val="32"/>
        </w:rPr>
        <w:t>规范化</w:t>
      </w:r>
      <w:r>
        <w:rPr>
          <w:rFonts w:hint="eastAsia" w:ascii="仿宋_GB2312" w:eastAsia="仿宋_GB2312"/>
          <w:color w:val="auto"/>
          <w:sz w:val="32"/>
          <w:szCs w:val="32"/>
          <w:lang w:val="en-US" w:eastAsia="zh-CN"/>
        </w:rPr>
        <w:t>建设</w:t>
      </w:r>
      <w:r>
        <w:rPr>
          <w:rFonts w:hint="eastAsia" w:ascii="仿宋_GB2312" w:hAnsi="仿宋_GB2312" w:eastAsia="仿宋_GB2312" w:cs="仿宋_GB2312"/>
          <w:color w:val="auto"/>
          <w:sz w:val="32"/>
          <w:szCs w:val="32"/>
        </w:rPr>
        <w:t>。提升安全监管信息化水平，</w:t>
      </w:r>
      <w:r>
        <w:rPr>
          <w:rFonts w:ascii="仿宋_GB2312" w:hAnsi="仿宋_GB2312" w:eastAsia="仿宋_GB2312" w:cs="仿宋_GB2312"/>
          <w:color w:val="auto"/>
          <w:sz w:val="32"/>
          <w:szCs w:val="32"/>
        </w:rPr>
        <w:t>实现流程可追踪、责任可追溯。</w:t>
      </w:r>
      <w:r>
        <w:rPr>
          <w:rFonts w:hint="eastAsia" w:ascii="仿宋_GB2312" w:hAnsi="仿宋_GB2312" w:eastAsia="仿宋_GB2312" w:cs="仿宋_GB2312"/>
          <w:color w:val="auto"/>
          <w:sz w:val="32"/>
          <w:szCs w:val="32"/>
        </w:rPr>
        <w:t>坚持依法行政，用严格执法带动更好普法，坚决依法惩治违法违规行为。</w:t>
      </w:r>
    </w:p>
    <w:p>
      <w:pPr>
        <w:pageBreakBefore w:val="0"/>
        <w:widowControl w:val="0"/>
        <w:kinsoku/>
        <w:wordWrap/>
        <w:overflowPunct/>
        <w:topLinePunct w:val="0"/>
        <w:autoSpaceDE/>
        <w:autoSpaceDN/>
        <w:bidi w:val="0"/>
        <w:adjustRightInd/>
        <w:snapToGrid/>
        <w:spacing w:line="580" w:lineRule="exact"/>
        <w:ind w:firstLine="641"/>
        <w:textAlignment w:val="auto"/>
        <w:rPr>
          <w:color w:val="auto"/>
        </w:rPr>
      </w:pPr>
      <w:r>
        <w:rPr>
          <w:rFonts w:hint="eastAsia" w:ascii="仿宋_GB2312" w:hAnsi="仿宋" w:eastAsia="仿宋_GB2312" w:cs="仿宋_GB2312"/>
          <w:b/>
          <w:bCs/>
          <w:color w:val="auto"/>
          <w:sz w:val="32"/>
          <w:szCs w:val="32"/>
        </w:rPr>
        <w:t>提升行业应急</w:t>
      </w:r>
      <w:r>
        <w:rPr>
          <w:rFonts w:hint="eastAsia" w:ascii="仿宋_GB2312" w:hAnsi="仿宋" w:eastAsia="仿宋_GB2312" w:cs="楷体"/>
          <w:b/>
          <w:bCs/>
          <w:color w:val="auto"/>
          <w:sz w:val="32"/>
          <w:szCs w:val="32"/>
        </w:rPr>
        <w:t>处置能力</w:t>
      </w:r>
      <w:r>
        <w:rPr>
          <w:rFonts w:hint="eastAsia" w:ascii="仿宋_GB2312" w:hAnsi="仿宋" w:eastAsia="仿宋_GB2312" w:cs="仿宋_GB2312"/>
          <w:b/>
          <w:bCs/>
          <w:color w:val="auto"/>
          <w:sz w:val="32"/>
          <w:szCs w:val="32"/>
        </w:rPr>
        <w:t>。</w:t>
      </w:r>
      <w:r>
        <w:rPr>
          <w:rFonts w:hint="eastAsia" w:ascii="仿宋_GB2312" w:hAnsi="仿宋_GB2312" w:eastAsia="仿宋_GB2312" w:cs="仿宋_GB2312"/>
          <w:color w:val="auto"/>
          <w:sz w:val="32"/>
          <w:szCs w:val="32"/>
        </w:rPr>
        <w:t>健全邮政业突发事件应急工作机制，完善</w:t>
      </w:r>
      <w:r>
        <w:rPr>
          <w:rFonts w:ascii="仿宋_GB2312" w:hAnsi="仿宋_GB2312" w:eastAsia="仿宋_GB2312" w:cs="仿宋_GB2312"/>
          <w:color w:val="auto"/>
          <w:sz w:val="32"/>
          <w:szCs w:val="32"/>
        </w:rPr>
        <w:t>应急预案，</w:t>
      </w:r>
      <w:r>
        <w:rPr>
          <w:rFonts w:hint="eastAsia" w:ascii="仿宋_GB2312" w:hAnsi="仿宋_GB2312" w:eastAsia="仿宋_GB2312" w:cs="仿宋_GB2312"/>
          <w:color w:val="auto"/>
          <w:sz w:val="32"/>
          <w:szCs w:val="32"/>
        </w:rPr>
        <w:t>加快推进多级联动</w:t>
      </w:r>
      <w:r>
        <w:rPr>
          <w:rFonts w:ascii="仿宋_GB2312" w:hAnsi="仿宋_GB2312" w:eastAsia="仿宋_GB2312" w:cs="仿宋_GB2312"/>
          <w:color w:val="auto"/>
          <w:sz w:val="32"/>
          <w:szCs w:val="32"/>
        </w:rPr>
        <w:t>、政企协同</w:t>
      </w:r>
      <w:r>
        <w:rPr>
          <w:rFonts w:hint="eastAsia" w:ascii="仿宋_GB2312" w:hAnsi="仿宋_GB2312" w:eastAsia="仿宋_GB2312" w:cs="仿宋_GB2312"/>
          <w:color w:val="auto"/>
          <w:sz w:val="32"/>
          <w:szCs w:val="32"/>
        </w:rPr>
        <w:t>、反应迅速、运行有序、高效可靠的突发</w:t>
      </w:r>
      <w:r>
        <w:rPr>
          <w:rFonts w:ascii="仿宋_GB2312" w:hAnsi="仿宋_GB2312" w:eastAsia="仿宋_GB2312" w:cs="仿宋_GB2312"/>
          <w:color w:val="auto"/>
          <w:sz w:val="32"/>
          <w:szCs w:val="32"/>
        </w:rPr>
        <w:t>事件</w:t>
      </w:r>
      <w:r>
        <w:rPr>
          <w:rFonts w:hint="eastAsia" w:ascii="仿宋_GB2312" w:hAnsi="仿宋_GB2312" w:eastAsia="仿宋_GB2312" w:cs="仿宋_GB2312"/>
          <w:color w:val="auto"/>
          <w:sz w:val="32"/>
          <w:szCs w:val="32"/>
        </w:rPr>
        <w:t>应急体系建设。将应急快递物流装备、人员、机构建设等纳入省应急保障支持范畴。推动省市邮政业应急管理工作纳入各级应急管理体系，落实属地责任。加强应急管理队伍建设，提高从业人员应急管理意识和能力。</w:t>
      </w:r>
    </w:p>
    <w:p>
      <w:pPr>
        <w:pStyle w:val="18"/>
        <w:pageBreakBefore w:val="0"/>
        <w:widowControl w:val="0"/>
        <w:kinsoku/>
        <w:wordWrap/>
        <w:overflowPunct/>
        <w:topLinePunct w:val="0"/>
        <w:autoSpaceDE/>
        <w:autoSpaceDN/>
        <w:bidi w:val="0"/>
        <w:adjustRightInd/>
        <w:snapToGrid/>
        <w:spacing w:beforeLines="0" w:afterLines="0" w:line="580" w:lineRule="exact"/>
        <w:ind w:firstLine="643"/>
        <w:textAlignment w:val="auto"/>
        <w:rPr>
          <w:rFonts w:ascii="楷体_GB2312" w:eastAsia="楷体_GB2312"/>
          <w:b w:val="0"/>
          <w:bCs/>
          <w:color w:val="auto"/>
        </w:rPr>
      </w:pPr>
      <w:bookmarkStart w:id="25" w:name="_Toc81238296"/>
      <w:r>
        <w:rPr>
          <w:rFonts w:hint="eastAsia" w:ascii="楷体_GB2312" w:eastAsia="楷体_GB2312"/>
          <w:b w:val="0"/>
          <w:bCs/>
          <w:color w:val="auto"/>
        </w:rPr>
        <w:t>（八）提升绿色低碳治理水平</w:t>
      </w:r>
      <w:bookmarkEnd w:id="25"/>
    </w:p>
    <w:p>
      <w:pPr>
        <w:pageBreakBefore w:val="0"/>
        <w:widowControl w:val="0"/>
        <w:kinsoku/>
        <w:wordWrap/>
        <w:overflowPunct/>
        <w:topLinePunct w:val="0"/>
        <w:autoSpaceDE/>
        <w:autoSpaceDN/>
        <w:bidi w:val="0"/>
        <w:adjustRightInd/>
        <w:snapToGrid/>
        <w:spacing w:line="580" w:lineRule="exact"/>
        <w:ind w:firstLine="643" w:firstLineChars="200"/>
        <w:textAlignment w:val="auto"/>
        <w:rPr>
          <w:rFonts w:ascii="仿宋_GB2312" w:hAnsi="仿宋_GB2312" w:eastAsia="仿宋_GB2312" w:cs="仿宋_GB2312"/>
          <w:color w:val="auto"/>
          <w:sz w:val="32"/>
          <w:szCs w:val="32"/>
        </w:rPr>
      </w:pPr>
      <w:r>
        <w:rPr>
          <w:rFonts w:hint="eastAsia" w:ascii="仿宋_GB2312" w:hAnsi="仿宋" w:eastAsia="仿宋_GB2312" w:cs="仿宋_GB2312"/>
          <w:b/>
          <w:bCs/>
          <w:color w:val="auto"/>
          <w:sz w:val="32"/>
          <w:szCs w:val="32"/>
        </w:rPr>
        <w:t>厚植绿色发展根基。</w:t>
      </w:r>
      <w:r>
        <w:rPr>
          <w:rFonts w:hint="eastAsia" w:ascii="仿宋_GB2312" w:hAnsi="仿宋" w:eastAsia="仿宋_GB2312" w:cs="仿宋_GB2312"/>
          <w:b w:val="0"/>
          <w:bCs w:val="0"/>
          <w:color w:val="auto"/>
          <w:sz w:val="32"/>
          <w:szCs w:val="32"/>
          <w:lang w:val="en-US" w:eastAsia="zh-CN"/>
        </w:rPr>
        <w:t>落实</w:t>
      </w:r>
      <w:r>
        <w:rPr>
          <w:rFonts w:ascii="仿宋_GB2312" w:hAnsi="仿宋_GB2312" w:eastAsia="仿宋_GB2312" w:cs="仿宋_GB2312"/>
          <w:b w:val="0"/>
          <w:bCs w:val="0"/>
          <w:color w:val="auto"/>
          <w:sz w:val="32"/>
          <w:szCs w:val="32"/>
          <w:lang w:val="en-US" w:bidi="ar-SA"/>
        </w:rPr>
        <w:t>碳达峰</w:t>
      </w:r>
      <w:r>
        <w:rPr>
          <w:rFonts w:hint="eastAsia" w:ascii="仿宋_GB2312" w:hAnsi="仿宋_GB2312" w:eastAsia="仿宋_GB2312" w:cs="仿宋_GB2312"/>
          <w:b w:val="0"/>
          <w:bCs w:val="0"/>
          <w:color w:val="auto"/>
          <w:sz w:val="32"/>
          <w:szCs w:val="32"/>
          <w:lang w:val="en-US" w:eastAsia="zh-CN" w:bidi="ar-SA"/>
        </w:rPr>
        <w:t>、</w:t>
      </w:r>
      <w:r>
        <w:rPr>
          <w:rFonts w:ascii="仿宋_GB2312" w:hAnsi="仿宋_GB2312" w:eastAsia="仿宋_GB2312" w:cs="仿宋_GB2312"/>
          <w:b w:val="0"/>
          <w:bCs w:val="0"/>
          <w:color w:val="auto"/>
          <w:sz w:val="32"/>
          <w:szCs w:val="32"/>
          <w:lang w:val="en-US" w:bidi="ar-SA"/>
        </w:rPr>
        <w:t>碳中和要求，</w:t>
      </w:r>
      <w:r>
        <w:rPr>
          <w:rFonts w:hint="eastAsia" w:ascii="仿宋_GB2312" w:hAnsi="仿宋_GB2312" w:eastAsia="仿宋_GB2312" w:cs="仿宋_GB2312"/>
          <w:color w:val="auto"/>
          <w:sz w:val="32"/>
          <w:szCs w:val="32"/>
        </w:rPr>
        <w:t>加强</w:t>
      </w:r>
      <w:r>
        <w:rPr>
          <w:rFonts w:ascii="仿宋_GB2312" w:hAnsi="仿宋_GB2312" w:eastAsia="仿宋_GB2312" w:cs="仿宋_GB2312"/>
          <w:color w:val="auto"/>
          <w:sz w:val="32"/>
          <w:szCs w:val="32"/>
        </w:rPr>
        <w:t>节能减排管控。</w:t>
      </w:r>
      <w:r>
        <w:rPr>
          <w:rFonts w:hint="eastAsia" w:ascii="仿宋_GB2312" w:hAnsi="仿宋_GB2312" w:eastAsia="仿宋_GB2312" w:cs="仿宋_GB2312"/>
          <w:color w:val="auto"/>
          <w:sz w:val="32"/>
          <w:szCs w:val="32"/>
        </w:rPr>
        <w:t>建立健全邮政业环境污染治理政策体系，形成以企业为主体、社会共同参与、部门联合监督管理的绿色发展格局。完善与绿色理念相适应的快递包装、快递运输标准体系。建立健全邮政业绿色发展统计指标，开展绿色产品认证工作。加强绿色邮政发展理念宣传引导，加大对节能环保先进技术应用的教育培训。</w:t>
      </w:r>
    </w:p>
    <w:p>
      <w:pPr>
        <w:pageBreakBefore w:val="0"/>
        <w:widowControl w:val="0"/>
        <w:kinsoku/>
        <w:wordWrap/>
        <w:overflowPunct/>
        <w:topLinePunct w:val="0"/>
        <w:autoSpaceDE/>
        <w:autoSpaceDN/>
        <w:bidi w:val="0"/>
        <w:adjustRightInd/>
        <w:snapToGrid/>
        <w:spacing w:line="580" w:lineRule="exact"/>
        <w:ind w:firstLine="643" w:firstLineChars="200"/>
        <w:textAlignment w:val="auto"/>
        <w:rPr>
          <w:rFonts w:ascii="仿宋_GB2312" w:hAnsi="仿宋_GB2312" w:eastAsia="仿宋_GB2312" w:cs="仿宋_GB2312"/>
          <w:color w:val="auto"/>
          <w:sz w:val="32"/>
          <w:szCs w:val="32"/>
        </w:rPr>
      </w:pPr>
      <w:r>
        <w:rPr>
          <w:rFonts w:hint="eastAsia" w:ascii="仿宋_GB2312" w:hAnsi="仿宋" w:eastAsia="仿宋_GB2312" w:cs="仿宋_GB2312"/>
          <w:b/>
          <w:bCs/>
          <w:color w:val="auto"/>
          <w:sz w:val="32"/>
          <w:szCs w:val="32"/>
        </w:rPr>
        <w:t>提升绿色发展水平。</w:t>
      </w:r>
      <w:r>
        <w:rPr>
          <w:rFonts w:hint="eastAsia" w:ascii="仿宋_GB2312" w:hAnsi="仿宋_GB2312" w:eastAsia="仿宋_GB2312" w:cs="仿宋_GB2312"/>
          <w:color w:val="auto"/>
          <w:sz w:val="32"/>
          <w:szCs w:val="32"/>
        </w:rPr>
        <w:t>推进邮件快件包装绿色化、减量化、可循环，督促企业按照《快递封装用品》系列国家标准实施绿色采购，减少包装物料用量</w:t>
      </w:r>
      <w:r>
        <w:rPr>
          <w:rFonts w:ascii="仿宋_GB2312" w:hAnsi="仿宋_GB2312" w:eastAsia="仿宋_GB2312" w:cs="仿宋_GB2312"/>
          <w:color w:val="auto"/>
          <w:sz w:val="32"/>
          <w:szCs w:val="32"/>
        </w:rPr>
        <w:t>,杜绝过度包装。</w:t>
      </w:r>
      <w:r>
        <w:rPr>
          <w:rFonts w:hint="eastAsia" w:ascii="仿宋_GB2312" w:hAnsi="仿宋_GB2312" w:eastAsia="仿宋_GB2312" w:cs="仿宋_GB2312"/>
          <w:color w:val="auto"/>
          <w:sz w:val="32"/>
          <w:szCs w:val="32"/>
        </w:rPr>
        <w:t>推动符合标准的快递包装废弃物回收装置全覆盖，</w:t>
      </w:r>
      <w:r>
        <w:rPr>
          <w:rFonts w:ascii="仿宋_GB2312" w:hAnsi="仿宋_GB2312" w:eastAsia="仿宋_GB2312" w:cs="仿宋_GB2312"/>
          <w:color w:val="auto"/>
          <w:sz w:val="32"/>
          <w:szCs w:val="32"/>
        </w:rPr>
        <w:t>鼓励企业参与社会化包装回收体系建设。</w:t>
      </w:r>
      <w:r>
        <w:rPr>
          <w:rFonts w:hint="eastAsia" w:ascii="仿宋_GB2312" w:hAnsi="仿宋_GB2312" w:eastAsia="仿宋_GB2312" w:cs="仿宋_GB2312"/>
          <w:color w:val="auto"/>
          <w:sz w:val="32"/>
          <w:szCs w:val="32"/>
        </w:rPr>
        <w:t>鼓励开发和推广应用低碳环保技术装备，推进智能</w:t>
      </w:r>
      <w:r>
        <w:rPr>
          <w:rFonts w:ascii="仿宋_GB2312" w:hAnsi="仿宋_GB2312" w:eastAsia="仿宋_GB2312" w:cs="仿宋_GB2312"/>
          <w:color w:val="auto"/>
          <w:sz w:val="32"/>
          <w:szCs w:val="32"/>
        </w:rPr>
        <w:t>分仓</w:t>
      </w:r>
      <w:r>
        <w:rPr>
          <w:rFonts w:hint="eastAsia" w:ascii="仿宋_GB2312" w:hAnsi="仿宋_GB2312" w:eastAsia="仿宋_GB2312" w:cs="仿宋_GB2312"/>
          <w:color w:val="auto"/>
          <w:sz w:val="32"/>
          <w:szCs w:val="32"/>
        </w:rPr>
        <w:t>、科学配载</w:t>
      </w:r>
      <w:r>
        <w:rPr>
          <w:rFonts w:ascii="仿宋_GB2312" w:hAnsi="仿宋_GB2312" w:eastAsia="仿宋_GB2312" w:cs="仿宋_GB2312"/>
          <w:color w:val="auto"/>
          <w:sz w:val="32"/>
          <w:szCs w:val="32"/>
        </w:rPr>
        <w:t>、线路优化、循环共用</w:t>
      </w:r>
      <w:r>
        <w:rPr>
          <w:rFonts w:hint="eastAsia" w:ascii="仿宋_GB2312" w:hAnsi="仿宋_GB2312" w:eastAsia="仿宋_GB2312" w:cs="仿宋_GB2312"/>
          <w:color w:val="auto"/>
          <w:sz w:val="32"/>
          <w:szCs w:val="32"/>
        </w:rPr>
        <w:t>。</w:t>
      </w:r>
      <w:r>
        <w:rPr>
          <w:rFonts w:ascii="仿宋_GB2312" w:hAnsi="仿宋_GB2312" w:eastAsia="仿宋_GB2312" w:cs="仿宋_GB2312"/>
          <w:color w:val="auto"/>
          <w:sz w:val="32"/>
          <w:szCs w:val="32"/>
        </w:rPr>
        <w:t>加快运输组织调整，推广</w:t>
      </w:r>
      <w:r>
        <w:rPr>
          <w:rFonts w:hint="eastAsia" w:ascii="仿宋_GB2312" w:hAnsi="仿宋_GB2312" w:eastAsia="仿宋_GB2312" w:cs="仿宋_GB2312"/>
          <w:color w:val="auto"/>
          <w:sz w:val="32"/>
          <w:szCs w:val="32"/>
        </w:rPr>
        <w:t>使用</w:t>
      </w:r>
      <w:r>
        <w:rPr>
          <w:rFonts w:ascii="仿宋_GB2312" w:hAnsi="仿宋_GB2312" w:eastAsia="仿宋_GB2312" w:cs="仿宋_GB2312"/>
          <w:color w:val="auto"/>
          <w:sz w:val="32"/>
          <w:szCs w:val="32"/>
        </w:rPr>
        <w:t>新能源和清洁能源</w:t>
      </w:r>
      <w:r>
        <w:rPr>
          <w:rFonts w:hint="eastAsia" w:ascii="仿宋_GB2312" w:hAnsi="仿宋_GB2312" w:eastAsia="仿宋_GB2312" w:cs="仿宋_GB2312"/>
          <w:color w:val="auto"/>
          <w:sz w:val="32"/>
          <w:szCs w:val="32"/>
        </w:rPr>
        <w:t>运输</w:t>
      </w:r>
      <w:r>
        <w:rPr>
          <w:rFonts w:ascii="仿宋_GB2312" w:hAnsi="仿宋_GB2312" w:eastAsia="仿宋_GB2312" w:cs="仿宋_GB2312"/>
          <w:color w:val="auto"/>
          <w:sz w:val="32"/>
          <w:szCs w:val="32"/>
        </w:rPr>
        <w:t>车辆</w:t>
      </w:r>
      <w:r>
        <w:rPr>
          <w:rFonts w:hint="eastAsia" w:ascii="仿宋_GB2312" w:hAnsi="仿宋_GB2312" w:eastAsia="仿宋_GB2312" w:cs="仿宋_GB2312"/>
          <w:color w:val="auto"/>
          <w:sz w:val="32"/>
          <w:szCs w:val="32"/>
        </w:rPr>
        <w:t>，</w:t>
      </w:r>
      <w:r>
        <w:rPr>
          <w:rFonts w:ascii="仿宋_GB2312" w:hAnsi="仿宋_GB2312" w:eastAsia="仿宋_GB2312" w:cs="仿宋_GB2312"/>
          <w:color w:val="auto"/>
          <w:sz w:val="32"/>
          <w:szCs w:val="32"/>
        </w:rPr>
        <w:t>发展多式联运，降低运输能耗和排放。</w:t>
      </w:r>
      <w:r>
        <w:rPr>
          <w:rFonts w:hint="eastAsia" w:ascii="仿宋_GB2312" w:hAnsi="仿宋_GB2312" w:eastAsia="仿宋_GB2312" w:cs="仿宋_GB2312"/>
          <w:color w:val="auto"/>
          <w:sz w:val="32"/>
          <w:szCs w:val="32"/>
        </w:rPr>
        <w:t>加快建设一批</w:t>
      </w:r>
      <w:r>
        <w:rPr>
          <w:rFonts w:ascii="仿宋_GB2312" w:hAnsi="仿宋_GB2312" w:eastAsia="仿宋_GB2312" w:cs="仿宋_GB2312"/>
          <w:color w:val="auto"/>
          <w:sz w:val="32"/>
          <w:szCs w:val="32"/>
        </w:rPr>
        <w:t>绿色网点、绿色分拨中心</w:t>
      </w:r>
      <w:r>
        <w:rPr>
          <w:rFonts w:hint="eastAsia" w:ascii="仿宋_GB2312" w:hAnsi="仿宋_GB2312" w:eastAsia="仿宋_GB2312" w:cs="仿宋_GB2312"/>
          <w:color w:val="auto"/>
          <w:sz w:val="32"/>
          <w:szCs w:val="32"/>
        </w:rPr>
        <w:t>、</w:t>
      </w:r>
      <w:r>
        <w:rPr>
          <w:rFonts w:ascii="仿宋_GB2312" w:hAnsi="仿宋_GB2312" w:eastAsia="仿宋_GB2312" w:cs="仿宋_GB2312"/>
          <w:color w:val="auto"/>
          <w:sz w:val="32"/>
          <w:szCs w:val="32"/>
        </w:rPr>
        <w:t>绿色园区。加强</w:t>
      </w:r>
      <w:r>
        <w:rPr>
          <w:rFonts w:hint="eastAsia" w:ascii="仿宋_GB2312" w:hAnsi="仿宋_GB2312" w:eastAsia="仿宋_GB2312" w:cs="仿宋_GB2312"/>
          <w:color w:val="auto"/>
          <w:sz w:val="32"/>
          <w:szCs w:val="32"/>
        </w:rPr>
        <w:t>基础设施建设节约集约用地</w:t>
      </w:r>
      <w:r>
        <w:rPr>
          <w:rFonts w:ascii="仿宋_GB2312" w:hAnsi="仿宋_GB2312" w:eastAsia="仿宋_GB2312" w:cs="仿宋_GB2312"/>
          <w:color w:val="auto"/>
          <w:sz w:val="32"/>
          <w:szCs w:val="32"/>
        </w:rPr>
        <w:t>。</w:t>
      </w:r>
    </w:p>
    <w:p>
      <w:pPr>
        <w:pageBreakBefore w:val="0"/>
        <w:widowControl w:val="0"/>
        <w:kinsoku/>
        <w:wordWrap/>
        <w:overflowPunct/>
        <w:topLinePunct w:val="0"/>
        <w:autoSpaceDE/>
        <w:autoSpaceDN/>
        <w:bidi w:val="0"/>
        <w:adjustRightInd/>
        <w:snapToGrid/>
        <w:spacing w:line="580" w:lineRule="exact"/>
        <w:ind w:firstLine="640" w:firstLineChars="200"/>
        <w:jc w:val="left"/>
        <w:textAlignment w:val="auto"/>
        <w:outlineLvl w:val="0"/>
        <w:rPr>
          <w:rFonts w:ascii="黑体" w:hAnsi="黑体" w:eastAsia="黑体" w:cs="黑体"/>
          <w:color w:val="auto"/>
          <w:sz w:val="32"/>
          <w:szCs w:val="32"/>
        </w:rPr>
      </w:pPr>
      <w:bookmarkStart w:id="26" w:name="_Toc81238297"/>
      <w:r>
        <w:rPr>
          <w:rFonts w:hint="eastAsia" w:ascii="黑体" w:hAnsi="黑体" w:eastAsia="黑体" w:cs="黑体"/>
          <w:color w:val="auto"/>
          <w:sz w:val="32"/>
          <w:szCs w:val="32"/>
        </w:rPr>
        <w:t>五、保障措施</w:t>
      </w:r>
      <w:bookmarkEnd w:id="26"/>
    </w:p>
    <w:p>
      <w:pPr>
        <w:pStyle w:val="4"/>
        <w:pageBreakBefore w:val="0"/>
        <w:widowControl w:val="0"/>
        <w:kinsoku/>
        <w:wordWrap/>
        <w:overflowPunct/>
        <w:topLinePunct w:val="0"/>
        <w:autoSpaceDE/>
        <w:autoSpaceDN/>
        <w:bidi w:val="0"/>
        <w:adjustRightInd/>
        <w:snapToGrid/>
        <w:spacing w:before="0" w:after="0" w:line="580" w:lineRule="exact"/>
        <w:ind w:firstLine="640" w:firstLineChars="200"/>
        <w:textAlignment w:val="auto"/>
        <w:rPr>
          <w:rFonts w:ascii="楷体_GB2312" w:hAnsi="楷体_GB2312" w:eastAsia="楷体_GB2312" w:cs="楷体_GB2312"/>
          <w:b w:val="0"/>
          <w:bCs w:val="0"/>
          <w:color w:val="auto"/>
        </w:rPr>
      </w:pPr>
      <w:bookmarkStart w:id="27" w:name="_Toc81238298"/>
      <w:bookmarkStart w:id="28" w:name="_Toc47939035"/>
      <w:r>
        <w:rPr>
          <w:rFonts w:hint="eastAsia" w:ascii="楷体_GB2312" w:hAnsi="楷体_GB2312" w:eastAsia="楷体_GB2312" w:cs="楷体_GB2312"/>
          <w:b w:val="0"/>
          <w:bCs w:val="0"/>
          <w:color w:val="auto"/>
        </w:rPr>
        <w:t>（一）加强党建引领</w:t>
      </w:r>
      <w:bookmarkEnd w:id="27"/>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加强政治建设，增强“四个意识”，坚定“四个自信”，做到“两个维护”。坚持以党建引领行业发展，以行业发展绩效检验党建成果。推进地市级快递行业党组织全覆盖。强化党风廉政建设和行风建设，深度践行“诚信、服务、规范、共享”行业核心价值理念。强化行业文化建设，大力弘扬劳模精神、劳动精神、工匠精神、“小蜜蜂”精神，引导企业勇于承担社会责任。加强对快递从业人员的关心关爱，深入推进“暖蜂行动”。</w:t>
      </w:r>
    </w:p>
    <w:p>
      <w:pPr>
        <w:pStyle w:val="4"/>
        <w:pageBreakBefore w:val="0"/>
        <w:widowControl w:val="0"/>
        <w:kinsoku/>
        <w:wordWrap/>
        <w:overflowPunct/>
        <w:topLinePunct w:val="0"/>
        <w:autoSpaceDE/>
        <w:autoSpaceDN/>
        <w:bidi w:val="0"/>
        <w:adjustRightInd/>
        <w:snapToGrid/>
        <w:spacing w:before="0" w:after="0" w:line="580" w:lineRule="exact"/>
        <w:ind w:firstLine="640" w:firstLineChars="200"/>
        <w:textAlignment w:val="auto"/>
        <w:rPr>
          <w:rFonts w:ascii="楷体_GB2312" w:hAnsi="楷体_GB2312" w:eastAsia="楷体_GB2312" w:cs="楷体_GB2312"/>
          <w:b w:val="0"/>
          <w:bCs w:val="0"/>
          <w:color w:val="auto"/>
        </w:rPr>
      </w:pPr>
      <w:bookmarkStart w:id="29" w:name="_Toc81238299"/>
      <w:r>
        <w:rPr>
          <w:rFonts w:hint="eastAsia" w:ascii="楷体_GB2312" w:hAnsi="楷体_GB2312" w:eastAsia="楷体_GB2312" w:cs="楷体_GB2312"/>
          <w:b w:val="0"/>
          <w:bCs w:val="0"/>
          <w:color w:val="auto"/>
        </w:rPr>
        <w:t>（二）加强组织领导</w:t>
      </w:r>
      <w:bookmarkEnd w:id="28"/>
      <w:bookmarkEnd w:id="29"/>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规划</w:t>
      </w:r>
      <w:r>
        <w:rPr>
          <w:rFonts w:ascii="仿宋_GB2312" w:hAnsi="仿宋_GB2312" w:eastAsia="仿宋_GB2312" w:cs="仿宋_GB2312"/>
          <w:color w:val="auto"/>
          <w:sz w:val="32"/>
          <w:szCs w:val="32"/>
        </w:rPr>
        <w:t>编制领导小组负责</w:t>
      </w:r>
      <w:r>
        <w:rPr>
          <w:rFonts w:hint="eastAsia" w:ascii="仿宋_GB2312" w:hAnsi="仿宋_GB2312" w:eastAsia="仿宋_GB2312" w:cs="仿宋_GB2312"/>
          <w:color w:val="auto"/>
          <w:sz w:val="32"/>
          <w:szCs w:val="32"/>
        </w:rPr>
        <w:t>规划落实，根据工作需要召开会议，研究确定年度工作重点，协调推进各地区工作落实，及时处理需要跨部门协调解决的问题。省邮政管理局和各市人民政府为规划实施的主体单位，省邮政管理局负责全省邮政业发展的总体规划，指导各市邮政业的发展；各市人民政府按照规划要求，出台相关政策支持邮政业的发展。各市邮政管理部门要强化《规划》实施的工作责任，切实加强组织领导，形成逐级推动落实的工作格局。</w:t>
      </w:r>
    </w:p>
    <w:p>
      <w:pPr>
        <w:pStyle w:val="4"/>
        <w:pageBreakBefore w:val="0"/>
        <w:widowControl w:val="0"/>
        <w:kinsoku/>
        <w:wordWrap/>
        <w:overflowPunct/>
        <w:topLinePunct w:val="0"/>
        <w:autoSpaceDE/>
        <w:autoSpaceDN/>
        <w:bidi w:val="0"/>
        <w:adjustRightInd/>
        <w:snapToGrid/>
        <w:spacing w:before="0" w:after="0" w:line="580" w:lineRule="exact"/>
        <w:ind w:firstLine="640" w:firstLineChars="200"/>
        <w:textAlignment w:val="auto"/>
        <w:rPr>
          <w:rFonts w:ascii="楷体_GB2312" w:hAnsi="楷体_GB2312" w:eastAsia="楷体_GB2312" w:cs="楷体_GB2312"/>
          <w:b w:val="0"/>
          <w:bCs w:val="0"/>
          <w:color w:val="auto"/>
        </w:rPr>
      </w:pPr>
      <w:bookmarkStart w:id="30" w:name="_Toc81238300"/>
      <w:r>
        <w:rPr>
          <w:rFonts w:hint="eastAsia" w:ascii="楷体_GB2312" w:hAnsi="楷体_GB2312" w:eastAsia="楷体_GB2312" w:cs="楷体_GB2312"/>
          <w:b w:val="0"/>
          <w:bCs w:val="0"/>
          <w:color w:val="auto"/>
        </w:rPr>
        <w:t>（三）加强实施管理</w:t>
      </w:r>
      <w:bookmarkEnd w:id="30"/>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各市邮政管理部门要结合本地实际，明确分工，精心组织，细化落实《规划》确定的主要目标、重点任务、重大工程。建立规划监测评估体系，加强对《规划》确定的重点任务完成情况的考核监督。监测评估工作由领导小组统筹领导，由领导小组办公室具体实施。</w:t>
      </w:r>
    </w:p>
    <w:p>
      <w:pPr>
        <w:pStyle w:val="4"/>
        <w:pageBreakBefore w:val="0"/>
        <w:widowControl w:val="0"/>
        <w:kinsoku/>
        <w:wordWrap/>
        <w:overflowPunct/>
        <w:topLinePunct w:val="0"/>
        <w:autoSpaceDE/>
        <w:autoSpaceDN/>
        <w:bidi w:val="0"/>
        <w:adjustRightInd/>
        <w:snapToGrid/>
        <w:spacing w:before="0" w:after="0" w:line="580" w:lineRule="exact"/>
        <w:ind w:firstLine="640" w:firstLineChars="200"/>
        <w:textAlignment w:val="auto"/>
        <w:rPr>
          <w:rFonts w:ascii="楷体" w:hAnsi="楷体" w:eastAsia="楷体" w:cs="楷体"/>
          <w:b w:val="0"/>
          <w:bCs w:val="0"/>
          <w:color w:val="auto"/>
        </w:rPr>
      </w:pPr>
      <w:bookmarkStart w:id="31" w:name="_Toc81238301"/>
      <w:r>
        <w:rPr>
          <w:rFonts w:hint="eastAsia" w:ascii="楷体_GB2312" w:hAnsi="楷体_GB2312" w:eastAsia="楷体_GB2312" w:cs="楷体_GB2312"/>
          <w:b w:val="0"/>
          <w:bCs w:val="0"/>
          <w:color w:val="auto"/>
        </w:rPr>
        <w:t>（四）加强政策保障</w:t>
      </w:r>
      <w:bookmarkEnd w:id="31"/>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加强《规划》与全国邮政业发展规划、安徽省国民经济社会发展规划等各类规划的衔接。推动将邮政业发展目标任务纳入省和各市经济社会发展规划，将邮政快递末端网点及设施建设纳入市县及乡镇国土空间规划、城市公共服务设施规划、城镇老旧小区改造计划等统筹建设。贯彻交通运输领域中央与地方财政事权和支出责任划分改革方案，落实地方在行业发展、安全发展、绿色发展、末端设施建设等方面的支出责任。立足安徽实际，重点解决全省行业发展难点，按照《国家邮政局安徽省人民政府关于加快安徽邮政快递业高质量发展战略合作协议》，用好在基础设施建设、科技创新应用、“两进一出”工程等方面的支持政策，促进行业高质量发展</w:t>
      </w:r>
      <w:r>
        <w:rPr>
          <w:rFonts w:hint="eastAsia" w:ascii="仿宋_GB2312" w:eastAsia="仿宋_GB2312" w:hAnsiTheme="majorHAnsi" w:cstheme="majorBidi"/>
          <w:color w:val="auto"/>
          <w:sz w:val="32"/>
          <w:szCs w:val="32"/>
        </w:rPr>
        <w:t>。</w:t>
      </w:r>
    </w:p>
    <w:p>
      <w:pPr>
        <w:pStyle w:val="4"/>
        <w:pageBreakBefore w:val="0"/>
        <w:widowControl w:val="0"/>
        <w:kinsoku/>
        <w:wordWrap/>
        <w:overflowPunct/>
        <w:topLinePunct w:val="0"/>
        <w:autoSpaceDE/>
        <w:autoSpaceDN/>
        <w:bidi w:val="0"/>
        <w:adjustRightInd/>
        <w:snapToGrid/>
        <w:spacing w:before="0" w:after="0" w:line="580" w:lineRule="exact"/>
        <w:ind w:firstLine="640" w:firstLineChars="200"/>
        <w:textAlignment w:val="auto"/>
        <w:rPr>
          <w:rFonts w:ascii="楷体_GB2312" w:hAnsi="楷体_GB2312" w:eastAsia="楷体_GB2312" w:cs="楷体_GB2312"/>
          <w:b w:val="0"/>
          <w:bCs w:val="0"/>
          <w:color w:val="auto"/>
        </w:rPr>
      </w:pPr>
      <w:bookmarkStart w:id="32" w:name="_Toc47939038"/>
      <w:bookmarkStart w:id="33" w:name="_Toc81238302"/>
      <w:r>
        <w:rPr>
          <w:rFonts w:hint="eastAsia" w:ascii="楷体_GB2312" w:hAnsi="楷体_GB2312" w:eastAsia="楷体_GB2312" w:cs="楷体_GB2312"/>
          <w:b w:val="0"/>
          <w:bCs w:val="0"/>
          <w:color w:val="auto"/>
        </w:rPr>
        <w:t>（五）加强人才保障</w:t>
      </w:r>
      <w:bookmarkEnd w:id="32"/>
      <w:bookmarkEnd w:id="33"/>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rPr>
      </w:pPr>
      <w:r>
        <w:rPr>
          <w:rFonts w:hint="eastAsia" w:ascii="仿宋_GB2312" w:hAnsi="仿宋_GB2312" w:eastAsia="仿宋_GB2312" w:cs="仿宋_GB2312"/>
          <w:color w:val="auto"/>
          <w:sz w:val="32"/>
          <w:szCs w:val="32"/>
        </w:rPr>
        <w:t>构建多层次的行业人才培养体系，</w:t>
      </w:r>
      <w:r>
        <w:rPr>
          <w:rFonts w:ascii="Times New Roman" w:hAnsi="Times New Roman" w:eastAsia="仿宋_GB2312"/>
          <w:color w:val="auto"/>
          <w:sz w:val="32"/>
          <w:szCs w:val="32"/>
        </w:rPr>
        <w:t>鼓励高等院校、科研机构、</w:t>
      </w:r>
      <w:r>
        <w:rPr>
          <w:rFonts w:hint="eastAsia" w:ascii="Times New Roman" w:hAnsi="Times New Roman" w:eastAsia="仿宋_GB2312"/>
          <w:color w:val="auto"/>
          <w:sz w:val="32"/>
          <w:szCs w:val="32"/>
          <w:lang w:val="en-US" w:eastAsia="zh-CN"/>
        </w:rPr>
        <w:t>行业协会、</w:t>
      </w:r>
      <w:r>
        <w:rPr>
          <w:rFonts w:ascii="Times New Roman" w:hAnsi="Times New Roman" w:eastAsia="仿宋_GB2312"/>
          <w:color w:val="auto"/>
          <w:sz w:val="32"/>
          <w:szCs w:val="32"/>
        </w:rPr>
        <w:t>企业</w:t>
      </w:r>
      <w:r>
        <w:rPr>
          <w:rFonts w:hint="eastAsia" w:ascii="Times New Roman" w:hAnsi="Times New Roman" w:eastAsia="仿宋_GB2312"/>
          <w:color w:val="auto"/>
          <w:sz w:val="32"/>
          <w:szCs w:val="32"/>
          <w:lang w:val="en-US" w:eastAsia="zh-CN"/>
        </w:rPr>
        <w:t>相互</w:t>
      </w:r>
      <w:r>
        <w:rPr>
          <w:rFonts w:ascii="Times New Roman" w:hAnsi="Times New Roman" w:eastAsia="仿宋_GB2312"/>
          <w:color w:val="auto"/>
          <w:sz w:val="32"/>
          <w:szCs w:val="32"/>
        </w:rPr>
        <w:t>合作开展职业技能培训，共同培养行业紧缺人才、企业中高级经营管理人才以及通晓国际规则的复合型人才。</w:t>
      </w:r>
      <w:r>
        <w:rPr>
          <w:rFonts w:hint="eastAsia" w:ascii="仿宋_GB2312" w:hAnsi="仿宋_GB2312" w:eastAsia="仿宋_GB2312" w:cs="仿宋_GB2312"/>
          <w:color w:val="auto"/>
          <w:sz w:val="32"/>
          <w:szCs w:val="32"/>
        </w:rPr>
        <w:t>将快递员、快件处理员等职业培训纳入政府补贴</w:t>
      </w:r>
      <w:r>
        <w:rPr>
          <w:rFonts w:hint="eastAsia" w:ascii="仿宋_GB2312" w:hAnsi="仿宋_GB2312" w:eastAsia="仿宋_GB2312" w:cs="仿宋_GB2312"/>
          <w:color w:val="auto"/>
          <w:sz w:val="32"/>
          <w:szCs w:val="32"/>
          <w:lang w:val="en-US" w:eastAsia="zh-CN"/>
        </w:rPr>
        <w:t>范围</w:t>
      </w:r>
      <w:r>
        <w:rPr>
          <w:rFonts w:hint="eastAsia" w:ascii="仿宋_GB2312" w:hAnsi="仿宋_GB2312" w:eastAsia="仿宋_GB2312" w:cs="仿宋_GB2312"/>
          <w:color w:val="auto"/>
          <w:sz w:val="32"/>
          <w:szCs w:val="32"/>
        </w:rPr>
        <w:t>。积极推进快递工程技术人员职称评审，探索建立复合型人才评价和职业发展通道。健全完善劳动和职业技能竞赛体系，维护从业人员合法权益。鼓励从业人员积极参与精神文明创建和评选表彰活动，发掘、培育、宣传行业先进典型。</w:t>
      </w:r>
    </w:p>
    <w:p>
      <w:pPr>
        <w:pStyle w:val="2"/>
        <w:rPr>
          <w:rFonts w:hint="eastAsia"/>
        </w:rPr>
      </w:pPr>
    </w:p>
    <w:p>
      <w:pPr>
        <w:pStyle w:val="2"/>
        <w:keepNext w:val="0"/>
        <w:keepLines w:val="0"/>
        <w:pageBreakBefore w:val="0"/>
        <w:widowControl w:val="0"/>
        <w:kinsoku/>
        <w:wordWrap/>
        <w:overflowPunct/>
        <w:topLinePunct w:val="0"/>
        <w:autoSpaceDE/>
        <w:autoSpaceDN/>
        <w:bidi w:val="0"/>
        <w:adjustRightInd/>
        <w:snapToGrid/>
        <w:spacing w:line="240" w:lineRule="exact"/>
        <w:ind w:left="108"/>
        <w:textAlignment w:val="auto"/>
        <w:rPr>
          <w:rFonts w:hint="eastAsia"/>
        </w:rPr>
      </w:pPr>
    </w:p>
    <w:p>
      <w:pPr>
        <w:pStyle w:val="2"/>
        <w:rPr>
          <w:rFonts w:hint="eastAsia" w:ascii="仿宋_GB2312" w:eastAsia="仿宋_GB2312"/>
          <w:sz w:val="32"/>
          <w:szCs w:val="32"/>
        </w:rPr>
      </w:pPr>
    </w:p>
    <w:p>
      <w:pPr>
        <w:pStyle w:val="2"/>
        <w:rPr>
          <w:rFonts w:hint="eastAsia" w:ascii="仿宋_GB2312" w:eastAsia="仿宋_GB2312"/>
          <w:sz w:val="32"/>
          <w:szCs w:val="32"/>
        </w:rPr>
      </w:pPr>
    </w:p>
    <w:p>
      <w:pPr>
        <w:pStyle w:val="2"/>
        <w:rPr>
          <w:rFonts w:hint="eastAsia" w:ascii="仿宋_GB2312" w:eastAsia="仿宋_GB2312"/>
          <w:sz w:val="32"/>
          <w:szCs w:val="32"/>
        </w:rPr>
      </w:pPr>
    </w:p>
    <w:sectPr>
      <w:footerReference r:id="rId5" w:type="default"/>
      <w:pgSz w:w="11906" w:h="16838"/>
      <w:pgMar w:top="1984" w:right="1531" w:bottom="1757" w:left="1531" w:header="851" w:footer="1361" w:gutter="0"/>
      <w:pgNumType w:fmt="decimal"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Arial Unicode MS">
    <w:panose1 w:val="020B0604020202020204"/>
    <w:charset w:val="86"/>
    <w:family w:val="auto"/>
    <w:pitch w:val="default"/>
    <w:sig w:usb0="FFFFFFFF" w:usb1="E9FFFFFF" w:usb2="0000003F" w:usb3="00000000" w:csb0="603F01FF" w:csb1="FFFF0000"/>
  </w:font>
  <w:font w:name="Times">
    <w:altName w:val="Times New Roman"/>
    <w:panose1 w:val="02020603050405020304"/>
    <w:charset w:val="00"/>
    <w:family w:val="roman"/>
    <w:pitch w:val="default"/>
    <w:sig w:usb0="00000000" w:usb1="00000000" w:usb2="00000009" w:usb3="00000000" w:csb0="000001FF" w:csb1="00000000"/>
  </w:font>
  <w:font w:name="方正仿宋_GBK">
    <w:altName w:val="Arial Unicode MS"/>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rPr>
                              <w:rFonts w:hint="default" w:eastAsia="宋体"/>
                              <w:sz w:val="28"/>
                              <w:szCs w:val="28"/>
                              <w:lang w:val="en-US" w:eastAsia="zh-CN"/>
                            </w:rPr>
                          </w:pPr>
                          <w:r>
                            <w:rPr>
                              <w:rFonts w:hint="eastAsia"/>
                              <w:sz w:val="28"/>
                              <w:szCs w:val="28"/>
                              <w:lang w:eastAsia="zh-CN"/>
                            </w:rPr>
                            <w:t>—</w:t>
                          </w:r>
                          <w:r>
                            <w:rPr>
                              <w:rFonts w:hint="eastAsia"/>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7"/>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rPr>
                        <w:rFonts w:hint="default" w:eastAsia="宋体"/>
                        <w:sz w:val="28"/>
                        <w:szCs w:val="28"/>
                        <w:lang w:val="en-US" w:eastAsia="zh-CN"/>
                      </w:rPr>
                    </w:pPr>
                    <w:r>
                      <w:rPr>
                        <w:rFonts w:hint="eastAsia"/>
                        <w:sz w:val="28"/>
                        <w:szCs w:val="28"/>
                        <w:lang w:eastAsia="zh-CN"/>
                      </w:rPr>
                      <w:t>—</w:t>
                    </w:r>
                    <w:r>
                      <w:rPr>
                        <w:rFonts w:hint="eastAsia"/>
                        <w:sz w:val="28"/>
                        <w:szCs w:val="28"/>
                        <w:lang w:val="en-US"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rPr>
                              <w:rFonts w:hint="default" w:eastAsia="宋体"/>
                              <w:sz w:val="28"/>
                              <w:szCs w:val="28"/>
                              <w:lang w:val="en-US" w:eastAsia="zh-CN"/>
                            </w:rPr>
                          </w:pPr>
                          <w:r>
                            <w:rPr>
                              <w:rFonts w:hint="eastAsia"/>
                              <w:sz w:val="28"/>
                              <w:szCs w:val="28"/>
                              <w:lang w:eastAsia="zh-CN"/>
                            </w:rPr>
                            <w:t>—</w:t>
                          </w:r>
                          <w:r>
                            <w:rPr>
                              <w:rFonts w:hint="eastAsia"/>
                              <w:sz w:val="28"/>
                              <w:szCs w:val="28"/>
                              <w:lang w:val="en-US"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4</w:t>
                          </w:r>
                          <w:r>
                            <w:rPr>
                              <w:rFonts w:hint="eastAsia"/>
                              <w:sz w:val="28"/>
                              <w:szCs w:val="28"/>
                              <w:lang w:eastAsia="zh-CN"/>
                            </w:rPr>
                            <w:fldChar w:fldCharType="end"/>
                          </w:r>
                          <w:r>
                            <w:rPr>
                              <w:rFonts w:hint="eastAsia"/>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7"/>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rPr>
                        <w:rFonts w:hint="default" w:eastAsia="宋体"/>
                        <w:sz w:val="28"/>
                        <w:szCs w:val="28"/>
                        <w:lang w:val="en-US" w:eastAsia="zh-CN"/>
                      </w:rPr>
                    </w:pPr>
                    <w:r>
                      <w:rPr>
                        <w:rFonts w:hint="eastAsia"/>
                        <w:sz w:val="28"/>
                        <w:szCs w:val="28"/>
                        <w:lang w:eastAsia="zh-CN"/>
                      </w:rPr>
                      <w:t>—</w:t>
                    </w:r>
                    <w:r>
                      <w:rPr>
                        <w:rFonts w:hint="eastAsia"/>
                        <w:sz w:val="28"/>
                        <w:szCs w:val="28"/>
                        <w:lang w:val="en-US"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4</w:t>
                    </w:r>
                    <w:r>
                      <w:rPr>
                        <w:rFonts w:hint="eastAsia"/>
                        <w:sz w:val="28"/>
                        <w:szCs w:val="28"/>
                        <w:lang w:eastAsia="zh-CN"/>
                      </w:rPr>
                      <w:fldChar w:fldCharType="end"/>
                    </w:r>
                    <w:r>
                      <w:rPr>
                        <w:rFonts w:hint="eastAsia"/>
                        <w:sz w:val="28"/>
                        <w:szCs w:val="28"/>
                        <w:lang w:val="en-US"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EAC"/>
    <w:rsid w:val="000212F9"/>
    <w:rsid w:val="000509D2"/>
    <w:rsid w:val="000728E1"/>
    <w:rsid w:val="00094F12"/>
    <w:rsid w:val="000B1898"/>
    <w:rsid w:val="000B2329"/>
    <w:rsid w:val="000B65E6"/>
    <w:rsid w:val="000F5559"/>
    <w:rsid w:val="00101845"/>
    <w:rsid w:val="001248DD"/>
    <w:rsid w:val="0012590B"/>
    <w:rsid w:val="001345AE"/>
    <w:rsid w:val="00140DC3"/>
    <w:rsid w:val="00146935"/>
    <w:rsid w:val="001A1C95"/>
    <w:rsid w:val="001A7115"/>
    <w:rsid w:val="001B6FA1"/>
    <w:rsid w:val="00224AC5"/>
    <w:rsid w:val="00235B0B"/>
    <w:rsid w:val="00240B4C"/>
    <w:rsid w:val="00244441"/>
    <w:rsid w:val="00247A5A"/>
    <w:rsid w:val="0026142C"/>
    <w:rsid w:val="00262CCF"/>
    <w:rsid w:val="00276954"/>
    <w:rsid w:val="0028194F"/>
    <w:rsid w:val="00290EAC"/>
    <w:rsid w:val="002D7315"/>
    <w:rsid w:val="002F5307"/>
    <w:rsid w:val="002F7751"/>
    <w:rsid w:val="00313433"/>
    <w:rsid w:val="003155BC"/>
    <w:rsid w:val="0034391E"/>
    <w:rsid w:val="00357826"/>
    <w:rsid w:val="00391354"/>
    <w:rsid w:val="00394830"/>
    <w:rsid w:val="003F0737"/>
    <w:rsid w:val="00451126"/>
    <w:rsid w:val="004616CC"/>
    <w:rsid w:val="00464954"/>
    <w:rsid w:val="00481A8A"/>
    <w:rsid w:val="004964DA"/>
    <w:rsid w:val="004B4C26"/>
    <w:rsid w:val="004D62C0"/>
    <w:rsid w:val="004E20A2"/>
    <w:rsid w:val="004E2F04"/>
    <w:rsid w:val="004E4351"/>
    <w:rsid w:val="00514264"/>
    <w:rsid w:val="00517802"/>
    <w:rsid w:val="00531B9E"/>
    <w:rsid w:val="005510A6"/>
    <w:rsid w:val="00580962"/>
    <w:rsid w:val="005A6B54"/>
    <w:rsid w:val="005C770D"/>
    <w:rsid w:val="005E399D"/>
    <w:rsid w:val="005E7115"/>
    <w:rsid w:val="00603FAC"/>
    <w:rsid w:val="006071FC"/>
    <w:rsid w:val="00656A52"/>
    <w:rsid w:val="0066018B"/>
    <w:rsid w:val="00663E8D"/>
    <w:rsid w:val="00667E70"/>
    <w:rsid w:val="00671325"/>
    <w:rsid w:val="00677437"/>
    <w:rsid w:val="006A1729"/>
    <w:rsid w:val="006C7F17"/>
    <w:rsid w:val="006E5870"/>
    <w:rsid w:val="00714A18"/>
    <w:rsid w:val="00715E21"/>
    <w:rsid w:val="0072486A"/>
    <w:rsid w:val="00737EC1"/>
    <w:rsid w:val="00740B41"/>
    <w:rsid w:val="0074271C"/>
    <w:rsid w:val="0074761C"/>
    <w:rsid w:val="00766B01"/>
    <w:rsid w:val="0077163B"/>
    <w:rsid w:val="007B1EDA"/>
    <w:rsid w:val="008251EA"/>
    <w:rsid w:val="008769C7"/>
    <w:rsid w:val="008F4961"/>
    <w:rsid w:val="008F7E6E"/>
    <w:rsid w:val="00905F06"/>
    <w:rsid w:val="00941157"/>
    <w:rsid w:val="00990C11"/>
    <w:rsid w:val="009B6D5A"/>
    <w:rsid w:val="009C49B2"/>
    <w:rsid w:val="009D3ED9"/>
    <w:rsid w:val="009D6647"/>
    <w:rsid w:val="009E669E"/>
    <w:rsid w:val="009F27BA"/>
    <w:rsid w:val="009F4C24"/>
    <w:rsid w:val="00A2202B"/>
    <w:rsid w:val="00A557CF"/>
    <w:rsid w:val="00A64F14"/>
    <w:rsid w:val="00A91578"/>
    <w:rsid w:val="00A9717C"/>
    <w:rsid w:val="00AD5381"/>
    <w:rsid w:val="00AE20F1"/>
    <w:rsid w:val="00B00235"/>
    <w:rsid w:val="00B30403"/>
    <w:rsid w:val="00B3338B"/>
    <w:rsid w:val="00BA1D9E"/>
    <w:rsid w:val="00BA1FD6"/>
    <w:rsid w:val="00BB1158"/>
    <w:rsid w:val="00BB2ACD"/>
    <w:rsid w:val="00BB57B3"/>
    <w:rsid w:val="00C27CEF"/>
    <w:rsid w:val="00C40EF3"/>
    <w:rsid w:val="00C41B97"/>
    <w:rsid w:val="00C41EB8"/>
    <w:rsid w:val="00C45BEE"/>
    <w:rsid w:val="00C468A7"/>
    <w:rsid w:val="00C474A6"/>
    <w:rsid w:val="00C63D1B"/>
    <w:rsid w:val="00C67C4B"/>
    <w:rsid w:val="00C737E5"/>
    <w:rsid w:val="00CB2701"/>
    <w:rsid w:val="00CD577E"/>
    <w:rsid w:val="00CE4983"/>
    <w:rsid w:val="00CE56B2"/>
    <w:rsid w:val="00D13889"/>
    <w:rsid w:val="00D31F75"/>
    <w:rsid w:val="00D33D06"/>
    <w:rsid w:val="00D627EA"/>
    <w:rsid w:val="00DA7905"/>
    <w:rsid w:val="00DC1120"/>
    <w:rsid w:val="00DE3D4E"/>
    <w:rsid w:val="00DF139F"/>
    <w:rsid w:val="00E07517"/>
    <w:rsid w:val="00E13721"/>
    <w:rsid w:val="00E7211F"/>
    <w:rsid w:val="00EF30CB"/>
    <w:rsid w:val="00F00D57"/>
    <w:rsid w:val="00F201EE"/>
    <w:rsid w:val="00F5051D"/>
    <w:rsid w:val="00FB15A8"/>
    <w:rsid w:val="00FF282E"/>
    <w:rsid w:val="00FF3205"/>
    <w:rsid w:val="00FF5FB7"/>
    <w:rsid w:val="00FF714A"/>
    <w:rsid w:val="032F34BE"/>
    <w:rsid w:val="03684C43"/>
    <w:rsid w:val="03C93CF7"/>
    <w:rsid w:val="0A882BE5"/>
    <w:rsid w:val="171637CE"/>
    <w:rsid w:val="1D5E49A2"/>
    <w:rsid w:val="22264C59"/>
    <w:rsid w:val="281A3FD7"/>
    <w:rsid w:val="28EF7F22"/>
    <w:rsid w:val="30570554"/>
    <w:rsid w:val="34B63D06"/>
    <w:rsid w:val="34F225FF"/>
    <w:rsid w:val="36420AD0"/>
    <w:rsid w:val="405F2986"/>
    <w:rsid w:val="453749EF"/>
    <w:rsid w:val="4595069A"/>
    <w:rsid w:val="47084C65"/>
    <w:rsid w:val="49E43CD2"/>
    <w:rsid w:val="4FE1554C"/>
    <w:rsid w:val="4FED47E4"/>
    <w:rsid w:val="51292554"/>
    <w:rsid w:val="51D27848"/>
    <w:rsid w:val="525278D5"/>
    <w:rsid w:val="534717AB"/>
    <w:rsid w:val="554E7E82"/>
    <w:rsid w:val="56F97FB8"/>
    <w:rsid w:val="598E4111"/>
    <w:rsid w:val="5D3E0E1B"/>
    <w:rsid w:val="5EC81215"/>
    <w:rsid w:val="60CD4487"/>
    <w:rsid w:val="680253D5"/>
    <w:rsid w:val="6B6110ED"/>
    <w:rsid w:val="70971414"/>
    <w:rsid w:val="75426B4A"/>
    <w:rsid w:val="75FE5EF5"/>
    <w:rsid w:val="76CB5410"/>
    <w:rsid w:val="7CE1234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paragraph" w:styleId="4">
    <w:name w:val="heading 2"/>
    <w:basedOn w:val="1"/>
    <w:next w:val="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4">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pPr>
      <w:ind w:left="107"/>
    </w:pPr>
    <w:rPr>
      <w:rFonts w:ascii="Arial Unicode MS" w:hAnsi="Arial Unicode MS" w:eastAsia="Arial Unicode MS" w:cs="Arial Unicode MS"/>
      <w:sz w:val="32"/>
      <w:szCs w:val="32"/>
      <w:lang w:val="zh-CN" w:bidi="zh-CN"/>
    </w:rPr>
  </w:style>
  <w:style w:type="paragraph" w:styleId="5">
    <w:name w:val="Body Text Indent"/>
    <w:basedOn w:val="1"/>
    <w:qFormat/>
    <w:uiPriority w:val="0"/>
    <w:pPr>
      <w:spacing w:line="580" w:lineRule="exact"/>
      <w:ind w:firstLine="600" w:firstLineChars="200"/>
    </w:pPr>
    <w:rPr>
      <w:rFonts w:ascii="Times" w:hAnsi="Times" w:eastAsia="方正仿宋_GBK"/>
      <w:sz w:val="30"/>
    </w:rPr>
  </w:style>
  <w:style w:type="paragraph" w:styleId="6">
    <w:name w:val="Balloon Text"/>
    <w:basedOn w:val="1"/>
    <w:semiHidden/>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toc 1"/>
    <w:basedOn w:val="1"/>
    <w:next w:val="1"/>
    <w:unhideWhenUsed/>
    <w:qFormat/>
    <w:uiPriority w:val="39"/>
    <w:pPr>
      <w:tabs>
        <w:tab w:val="right" w:leader="dot" w:pos="8296"/>
      </w:tabs>
      <w:spacing w:line="400" w:lineRule="exact"/>
    </w:pPr>
    <w:rPr>
      <w:rFonts w:ascii="黑体" w:hAnsi="黑体" w:eastAsia="黑体"/>
      <w:sz w:val="30"/>
      <w:szCs w:val="30"/>
    </w:rPr>
  </w:style>
  <w:style w:type="paragraph" w:styleId="10">
    <w:name w:val="toc 2"/>
    <w:basedOn w:val="1"/>
    <w:next w:val="1"/>
    <w:unhideWhenUsed/>
    <w:qFormat/>
    <w:uiPriority w:val="39"/>
    <w:pPr>
      <w:tabs>
        <w:tab w:val="right" w:leader="dot" w:pos="8296"/>
      </w:tabs>
      <w:spacing w:line="500" w:lineRule="exact"/>
      <w:ind w:left="420" w:leftChars="200"/>
    </w:pPr>
    <w:rPr>
      <w:rFonts w:ascii="仿宋" w:hAnsi="仿宋" w:eastAsia="仿宋" w:cs="楷体"/>
      <w:b/>
      <w:bCs/>
      <w:sz w:val="28"/>
      <w:szCs w:val="28"/>
    </w:rPr>
  </w:style>
  <w:style w:type="paragraph" w:styleId="11">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page number"/>
    <w:basedOn w:val="14"/>
    <w:qFormat/>
    <w:uiPriority w:val="0"/>
  </w:style>
  <w:style w:type="character" w:styleId="16">
    <w:name w:val="Hyperlink"/>
    <w:basedOn w:val="14"/>
    <w:unhideWhenUsed/>
    <w:qFormat/>
    <w:uiPriority w:val="99"/>
    <w:rPr>
      <w:color w:val="0000FF" w:themeColor="hyperlink"/>
      <w:u w:val="single"/>
      <w14:textFill>
        <w14:solidFill>
          <w14:schemeClr w14:val="hlink"/>
        </w14:solidFill>
      </w14:textFill>
    </w:rPr>
  </w:style>
  <w:style w:type="paragraph" w:customStyle="1" w:styleId="17">
    <w:name w:val="TOC 标题1"/>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376092" w:themeColor="accent1" w:themeShade="BF"/>
      <w:kern w:val="0"/>
      <w:sz w:val="32"/>
      <w:szCs w:val="32"/>
    </w:rPr>
  </w:style>
  <w:style w:type="paragraph" w:customStyle="1" w:styleId="18">
    <w:name w:val="标题二"/>
    <w:basedOn w:val="1"/>
    <w:qFormat/>
    <w:uiPriority w:val="0"/>
    <w:pPr>
      <w:spacing w:beforeLines="50" w:afterLines="50" w:line="560" w:lineRule="exact"/>
      <w:ind w:firstLine="640" w:firstLineChars="200"/>
      <w:outlineLvl w:val="1"/>
    </w:pPr>
    <w:rPr>
      <w:rFonts w:ascii="楷体" w:hAnsi="楷体" w:eastAsia="楷体" w:cs="仿宋"/>
      <w:sz w:val="32"/>
      <w:szCs w:val="32"/>
    </w:rPr>
  </w:style>
  <w:style w:type="character" w:customStyle="1" w:styleId="19">
    <w:name w:val="bjh-p"/>
    <w:basedOn w:val="14"/>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24</Pages>
  <Words>11438</Words>
  <Characters>11702</Characters>
  <Lines>79</Lines>
  <Paragraphs>22</Paragraphs>
  <TotalTime>1186</TotalTime>
  <ScaleCrop>false</ScaleCrop>
  <LinksUpToDate>false</LinksUpToDate>
  <CharactersWithSpaces>11827</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2013-10-17T10:52:00Z</dcterms:created>
  <dc:creator>dddddd</dc:creator>
  <cp:lastModifiedBy>老张</cp:lastModifiedBy>
  <cp:lastPrinted>2021-11-25T00:26:00Z</cp:lastPrinted>
  <dcterms:modified xsi:type="dcterms:W3CDTF">2021-12-02T00:27:22Z</dcterms:modified>
  <dc:title>安徽省人民政府办公厅</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78C5EBF06EB047F2BEB63E31B3D9C43E</vt:lpwstr>
  </property>
</Properties>
</file>